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bookmarkStart w:id="0" w:name="_GoBack"/>
    <w:bookmarkEnd w:id="0"/>
    <w:p w:rsidR="00717851" w:rsidRPr="003F2168" w:rsidRDefault="00432F30" w:rsidP="00EA361B">
      <w:r w:rsidRPr="003F2168">
        <w:rPr>
          <w:noProof/>
          <w:lang w:eastAsia="en-GB"/>
        </w:rPr>
        <mc:AlternateContent>
          <mc:Choice Requires="wps">
            <w:drawing>
              <wp:anchor distT="45720" distB="45720" distL="114300" distR="114300" simplePos="0" relativeHeight="251652096" behindDoc="0" locked="0" layoutInCell="1" allowOverlap="1" wp14:anchorId="40C46A16" wp14:editId="4A2692B4">
                <wp:simplePos x="0" y="0"/>
                <wp:positionH relativeFrom="column">
                  <wp:posOffset>419100</wp:posOffset>
                </wp:positionH>
                <wp:positionV relativeFrom="paragraph">
                  <wp:posOffset>9525</wp:posOffset>
                </wp:positionV>
                <wp:extent cx="5229225" cy="14954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495425"/>
                        </a:xfrm>
                        <a:prstGeom prst="rect">
                          <a:avLst/>
                        </a:prstGeom>
                        <a:solidFill>
                          <a:srgbClr val="FFFFFF"/>
                        </a:solidFill>
                        <a:ln w="9525">
                          <a:solidFill>
                            <a:schemeClr val="bg1"/>
                          </a:solidFill>
                          <a:miter lim="800000"/>
                          <a:headEnd/>
                          <a:tailEnd/>
                        </a:ln>
                      </wps:spPr>
                      <wps:txbx>
                        <w:txbxContent>
                          <w:p w:rsidR="00D0021D" w:rsidRDefault="00D0021D">
                            <w:r w:rsidRPr="00432F30">
                              <w:rPr>
                                <w:noProof/>
                                <w:lang w:eastAsia="en-GB"/>
                              </w:rPr>
                              <w:drawing>
                                <wp:inline distT="0" distB="0" distL="0" distR="0" wp14:anchorId="3311D43B" wp14:editId="4E07B1AD">
                                  <wp:extent cx="5568122" cy="1466850"/>
                                  <wp:effectExtent l="0" t="0" r="0" b="0"/>
                                  <wp:docPr id="15" name="Picture 15" descr="C:\Users\NPuser\Documents\Neighbourhood Plan files\NDP new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Puser\Documents\Neighbourhood Plan files\NDP new logo RG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8306" cy="14748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C46A16" id="_x0000_t202" coordsize="21600,21600" o:spt="202" path="m,l,21600r21600,l21600,xe">
                <v:stroke joinstyle="miter"/>
                <v:path gradientshapeok="t" o:connecttype="rect"/>
              </v:shapetype>
              <v:shape id="Text Box 2" o:spid="_x0000_s1026" type="#_x0000_t202" style="position:absolute;margin-left:33pt;margin-top:.75pt;width:411.75pt;height:117.7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" strokecolor="white [3212]">
                <v:textbox>
                  <w:txbxContent>
                    <w:p w:rsidR="00D0021D" w:rsidRDefault="00D0021D">
                      <w:r w:rsidRPr="00432F30">
                        <w:rPr>
                          <w:noProof/>
                          <w:lang w:eastAsia="en-GB"/>
                        </w:rPr>
                        <w:drawing>
                          <wp:inline distT="0" distB="0" distL="0" distR="0" wp14:anchorId="3311D43B" wp14:editId="4E07B1AD">
                            <wp:extent cx="5568122" cy="1466850"/>
                            <wp:effectExtent l="0" t="0" r="0" b="0"/>
                            <wp:docPr id="15" name="Picture 15" descr="C:\Users\NPuser\Documents\Neighbourhood Plan files\NDP new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Puser\Documents\Neighbourhood Plan files\NDP new logo RG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8306" cy="1474802"/>
                                    </a:xfrm>
                                    <a:prstGeom prst="rect">
                                      <a:avLst/>
                                    </a:prstGeom>
                                    <a:noFill/>
                                    <a:ln>
                                      <a:noFill/>
                                    </a:ln>
                                  </pic:spPr>
                                </pic:pic>
                              </a:graphicData>
                            </a:graphic>
                          </wp:inline>
                        </w:drawing>
                      </w:r>
                    </w:p>
                  </w:txbxContent>
                </v:textbox>
                <w10:wrap type="square"/>
              </v:shape>
            </w:pict>
          </mc:Fallback>
        </mc:AlternateContent>
      </w:r>
    </w:p>
    <w:sdt>
      <w:sdtPr>
        <w:id w:val="-1743633326"/>
        <w:docPartObj>
          <w:docPartGallery w:val="Cover Pages"/>
          <w:docPartUnique/>
        </w:docPartObj>
      </w:sdtPr>
      <w:sdtEndPr/>
      <w:sdtContent>
        <w:p w:rsidR="00422AC5" w:rsidRPr="003F2168" w:rsidRDefault="00422AC5" w:rsidP="00161E03"/>
        <w:p w:rsidR="00E615E0" w:rsidRPr="003F2168" w:rsidRDefault="00732C5C" w:rsidP="00161E03">
          <w:r w:rsidRPr="003F2168">
            <w:rPr>
              <w:noProof/>
              <w:lang w:eastAsia="en-GB"/>
            </w:rPr>
            <mc:AlternateContent>
              <mc:Choice Requires="wps">
                <w:drawing>
                  <wp:anchor distT="0" distB="0" distL="114300" distR="114300" simplePos="0" relativeHeight="251663360" behindDoc="0" locked="0" layoutInCell="1" allowOverlap="1" wp14:anchorId="706E1EE5" wp14:editId="4BA4202A">
                    <wp:simplePos x="0" y="0"/>
                    <wp:positionH relativeFrom="margin">
                      <wp:posOffset>151130</wp:posOffset>
                    </wp:positionH>
                    <wp:positionV relativeFrom="paragraph">
                      <wp:posOffset>3247390</wp:posOffset>
                    </wp:positionV>
                    <wp:extent cx="5930900" cy="10572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0" cy="1057275"/>
                            </a:xfrm>
                            <a:prstGeom prst="rect">
                              <a:avLst/>
                            </a:prstGeom>
                            <a:solidFill>
                              <a:srgbClr val="FFFFFF">
                                <a:alpha val="0"/>
                              </a:srgbClr>
                            </a:solidFill>
                            <a:ln w="9525">
                              <a:noFill/>
                              <a:miter lim="800000"/>
                              <a:headEnd/>
                              <a:tailEnd/>
                            </a:ln>
                          </wps:spPr>
                          <wps:txbx>
                            <w:txbxContent>
                              <w:p w:rsidR="00732C5C" w:rsidRPr="000C4425" w:rsidRDefault="00732C5C" w:rsidP="00732C5C">
                                <w:pPr>
                                  <w:spacing w:before="240" w:after="120" w:line="240" w:lineRule="auto"/>
                                  <w:jc w:val="center"/>
                                  <w:rPr>
                                    <w:rFonts w:cs="Tahoma"/>
                                    <w:b/>
                                    <w:i/>
                                    <w:color w:val="4F6228"/>
                                    <w:sz w:val="96"/>
                                    <w:szCs w:val="120"/>
                                    <w:vertAlign w:val="superscript"/>
                                  </w:rPr>
                                </w:pPr>
                                <w:r>
                                  <w:rPr>
                                    <w:rFonts w:cs="Tahoma"/>
                                    <w:b/>
                                    <w:i/>
                                    <w:color w:val="4F6228"/>
                                    <w:sz w:val="96"/>
                                    <w:szCs w:val="120"/>
                                    <w:vertAlign w:val="superscript"/>
                                  </w:rPr>
                                  <w:t>Post Examination</w:t>
                                </w:r>
                                <w:r w:rsidRPr="000C4425">
                                  <w:rPr>
                                    <w:rFonts w:cs="Tahoma"/>
                                    <w:b/>
                                    <w:i/>
                                    <w:color w:val="4F6228"/>
                                    <w:sz w:val="96"/>
                                    <w:szCs w:val="120"/>
                                    <w:vertAlign w:val="superscript"/>
                                  </w:rPr>
                                  <w:t xml:space="preserve"> Version</w:t>
                                </w:r>
                              </w:p>
                              <w:p w:rsidR="00732C5C" w:rsidRPr="005A7DD4" w:rsidRDefault="00732C5C" w:rsidP="00732C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6E1EE5" id="_x0000_t202" coordsize="21600,21600" o:spt="202" path="m,l,21600r21600,l21600,xe">
                    <v:stroke joinstyle="miter"/>
                    <v:path gradientshapeok="t" o:connecttype="rect"/>
                  </v:shapetype>
                  <v:shape id="_x0000_s1027" type="#_x0000_t202" style="position:absolute;margin-left:11.9pt;margin-top:255.7pt;width:467pt;height:8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" stroked="f">
                    <v:fill opacity="0"/>
                    <v:textbox>
                      <w:txbxContent>
                        <w:p w:rsidR="00732C5C" w:rsidRPr="000C4425" w:rsidRDefault="00732C5C" w:rsidP="00732C5C">
                          <w:pPr>
                            <w:spacing w:before="240" w:after="120" w:line="240" w:lineRule="auto"/>
                            <w:jc w:val="center"/>
                            <w:rPr>
                              <w:rFonts w:cs="Tahoma"/>
                              <w:b/>
                              <w:i/>
                              <w:color w:val="4F6228"/>
                              <w:sz w:val="96"/>
                              <w:szCs w:val="120"/>
                              <w:vertAlign w:val="superscript"/>
                            </w:rPr>
                          </w:pPr>
                          <w:r>
                            <w:rPr>
                              <w:rFonts w:cs="Tahoma"/>
                              <w:b/>
                              <w:i/>
                              <w:color w:val="4F6228"/>
                              <w:sz w:val="96"/>
                              <w:szCs w:val="120"/>
                              <w:vertAlign w:val="superscript"/>
                            </w:rPr>
                            <w:t>Post Examination</w:t>
                          </w:r>
                          <w:r w:rsidRPr="000C4425">
                            <w:rPr>
                              <w:rFonts w:cs="Tahoma"/>
                              <w:b/>
                              <w:i/>
                              <w:color w:val="4F6228"/>
                              <w:sz w:val="96"/>
                              <w:szCs w:val="120"/>
                              <w:vertAlign w:val="superscript"/>
                            </w:rPr>
                            <w:t xml:space="preserve"> Version</w:t>
                          </w:r>
                        </w:p>
                        <w:p w:rsidR="00732C5C" w:rsidRPr="005A7DD4" w:rsidRDefault="00732C5C" w:rsidP="00732C5C"/>
                      </w:txbxContent>
                    </v:textbox>
                    <w10:wrap anchorx="margin"/>
                  </v:shape>
                </w:pict>
              </mc:Fallback>
            </mc:AlternateContent>
          </w:r>
          <w:r w:rsidRPr="00141B41">
            <w:rPr>
              <w:noProof/>
              <w:lang w:eastAsia="en-GB"/>
            </w:rPr>
            <mc:AlternateContent>
              <mc:Choice Requires="wps">
                <w:drawing>
                  <wp:anchor distT="45720" distB="45720" distL="114300" distR="114300" simplePos="0" relativeHeight="251659264" behindDoc="0" locked="0" layoutInCell="1" allowOverlap="1" wp14:anchorId="1D0B0C1E" wp14:editId="4BDC9125">
                    <wp:simplePos x="0" y="0"/>
                    <wp:positionH relativeFrom="margin">
                      <wp:posOffset>1219200</wp:posOffset>
                    </wp:positionH>
                    <wp:positionV relativeFrom="paragraph">
                      <wp:posOffset>4302760</wp:posOffset>
                    </wp:positionV>
                    <wp:extent cx="3543300" cy="45720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696464">
                                <a:lumMod val="20000"/>
                                <a:lumOff val="80000"/>
                              </a:srgbClr>
                            </a:solidFill>
                            <a:ln w="9525">
                              <a:solidFill>
                                <a:srgbClr val="000000"/>
                              </a:solidFill>
                              <a:miter lim="800000"/>
                              <a:headEnd/>
                              <a:tailEnd/>
                            </a:ln>
                          </wps:spPr>
                          <wps:txbx>
                            <w:txbxContent>
                              <w:p w:rsidR="00D0021D" w:rsidRPr="00234CB1" w:rsidRDefault="00D0021D" w:rsidP="00A36876">
                                <w:pPr>
                                  <w:jc w:val="center"/>
                                  <w:rPr>
                                    <w:color w:val="343232" w:themeColor="text2" w:themeShade="80"/>
                                    <w:sz w:val="44"/>
                                  </w:rPr>
                                </w:pPr>
                                <w:r>
                                  <w:rPr>
                                    <w:color w:val="343232" w:themeColor="text2" w:themeShade="80"/>
                                    <w:sz w:val="44"/>
                                  </w:rPr>
                                  <w:t>‘</w:t>
                                </w:r>
                                <w:r w:rsidRPr="00234CB1">
                                  <w:rPr>
                                    <w:color w:val="343232" w:themeColor="text2" w:themeShade="80"/>
                                    <w:sz w:val="44"/>
                                  </w:rPr>
                                  <w:t>Our Community… Our Plan</w:t>
                                </w:r>
                                <w:r>
                                  <w:rPr>
                                    <w:color w:val="343232" w:themeColor="text2" w:themeShade="80"/>
                                    <w:sz w:val="4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B0C1E" id="_x0000_s1028" type="#_x0000_t202" style="position:absolute;margin-left:96pt;margin-top:338.8pt;width:279pt;height:3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" fillcolor="#e1e0e0">
                    <v:textbox>
                      <w:txbxContent>
                        <w:p w:rsidR="00D0021D" w:rsidRPr="00234CB1" w:rsidRDefault="00D0021D" w:rsidP="00A36876">
                          <w:pPr>
                            <w:jc w:val="center"/>
                            <w:rPr>
                              <w:color w:val="343232" w:themeColor="text2" w:themeShade="80"/>
                              <w:sz w:val="44"/>
                            </w:rPr>
                          </w:pPr>
                          <w:r>
                            <w:rPr>
                              <w:color w:val="343232" w:themeColor="text2" w:themeShade="80"/>
                              <w:sz w:val="44"/>
                            </w:rPr>
                            <w:t>‘</w:t>
                          </w:r>
                          <w:r w:rsidRPr="00234CB1">
                            <w:rPr>
                              <w:color w:val="343232" w:themeColor="text2" w:themeShade="80"/>
                              <w:sz w:val="44"/>
                            </w:rPr>
                            <w:t>Our Community… Our Plan</w:t>
                          </w:r>
                          <w:r>
                            <w:rPr>
                              <w:color w:val="343232" w:themeColor="text2" w:themeShade="80"/>
                              <w:sz w:val="44"/>
                            </w:rPr>
                            <w:t>’</w:t>
                          </w:r>
                        </w:p>
                      </w:txbxContent>
                    </v:textbox>
                    <w10:wrap type="square" anchorx="margin"/>
                  </v:shape>
                </w:pict>
              </mc:Fallback>
            </mc:AlternateContent>
          </w:r>
          <w:r w:rsidR="009E31F4" w:rsidRPr="003F2168">
            <w:rPr>
              <w:noProof/>
              <w:lang w:eastAsia="en-GB"/>
            </w:rPr>
            <mc:AlternateContent>
              <mc:Choice Requires="wps">
                <w:drawing>
                  <wp:anchor distT="0" distB="0" distL="114300" distR="114300" simplePos="0" relativeHeight="251618816" behindDoc="0" locked="0" layoutInCell="1" allowOverlap="1" wp14:anchorId="67B925C2" wp14:editId="44EA8434">
                    <wp:simplePos x="0" y="0"/>
                    <wp:positionH relativeFrom="column">
                      <wp:posOffset>2552700</wp:posOffset>
                    </wp:positionH>
                    <wp:positionV relativeFrom="paragraph">
                      <wp:posOffset>7242810</wp:posOffset>
                    </wp:positionV>
                    <wp:extent cx="387667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21D" w:rsidRDefault="00D0021D" w:rsidP="00D63999">
                                <w:pPr>
                                  <w:jc w:val="right"/>
                                </w:pPr>
                                <w:r w:rsidRPr="008707BF">
                                  <w:t xml:space="preserve">Watlington </w:t>
                                </w:r>
                                <w:r>
                                  <w:t>Parish Council</w:t>
                                </w:r>
                              </w:p>
                              <w:p w:rsidR="009E31F4" w:rsidRPr="008707BF" w:rsidRDefault="00732C5C" w:rsidP="00D63999">
                                <w:pPr>
                                  <w:jc w:val="right"/>
                                </w:pPr>
                                <w:r>
                                  <w:t>April 2018</w:t>
                                </w:r>
                              </w:p>
                              <w:sdt>
                                <w:sdtPr>
                                  <w:alias w:val="Publish Date"/>
                                  <w:tag w:val=""/>
                                  <w:id w:val="-668412529"/>
                                  <w:showingPlcHdr/>
                                  <w:dataBinding w:prefixMappings="xmlns:ns0='http://schemas.microsoft.com/office/2006/coverPageProps' " w:xpath="/ns0:CoverPageProperties[1]/ns0:PublishDate[1]" w:storeItemID="{55AF091B-3C7A-41E3-B477-F2FDAA23CFDA}"/>
                                  <w:date w:fullDate="2017-09-26T00:00:00Z">
                                    <w:dateFormat w:val="d MMMM yyyy"/>
                                    <w:lid w:val="en-GB"/>
                                    <w:storeMappedDataAs w:val="dateTime"/>
                                    <w:calendar w:val="gregorian"/>
                                  </w:date>
                                </w:sdtPr>
                                <w:sdtEndPr/>
                                <w:sdtContent>
                                  <w:p w:rsidR="00D0021D" w:rsidRPr="008707BF" w:rsidRDefault="00D0021D" w:rsidP="00D63999">
                                    <w:pPr>
                                      <w:jc w:val="right"/>
                                    </w:pPr>
                                    <w:r>
                                      <w:t xml:space="preserve">     </w:t>
                                    </w:r>
                                  </w:p>
                                </w:sdtContent>
                              </w:sdt>
                              <w:p w:rsidR="00D0021D" w:rsidRPr="008707BF" w:rsidRDefault="00D0021D" w:rsidP="00161E0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B925C2" id="Text Box 10" o:spid="_x0000_s1029" type="#_x0000_t202" style="position:absolute;margin-left:201pt;margin-top:570.3pt;width:305.25pt;height:1in;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1yhQIAABc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" stroked="f">
                    <v:textbox>
                      <w:txbxContent>
                        <w:p w:rsidR="00D0021D" w:rsidRDefault="00D0021D" w:rsidP="00D63999">
                          <w:pPr>
                            <w:jc w:val="right"/>
                          </w:pPr>
                          <w:r w:rsidRPr="008707BF">
                            <w:t xml:space="preserve">Watlington </w:t>
                          </w:r>
                          <w:r>
                            <w:t>Parish Council</w:t>
                          </w:r>
                        </w:p>
                        <w:p w:rsidR="009E31F4" w:rsidRPr="008707BF" w:rsidRDefault="00732C5C" w:rsidP="00D63999">
                          <w:pPr>
                            <w:jc w:val="right"/>
                          </w:pPr>
                          <w:r>
                            <w:t>April 2018</w:t>
                          </w:r>
                        </w:p>
                        <w:sdt>
                          <w:sdtPr>
                            <w:alias w:val="Publish Date"/>
                            <w:tag w:val=""/>
                            <w:id w:val="-668412529"/>
                            <w:showingPlcHdr/>
                            <w:dataBinding w:prefixMappings="xmlns:ns0='http://schemas.microsoft.com/office/2006/coverPageProps' " w:xpath="/ns0:CoverPageProperties[1]/ns0:PublishDate[1]" w:storeItemID="{55AF091B-3C7A-41E3-B477-F2FDAA23CFDA}"/>
                            <w:date w:fullDate="2017-09-26T00:00:00Z">
                              <w:dateFormat w:val="d MMMM yyyy"/>
                              <w:lid w:val="en-GB"/>
                              <w:storeMappedDataAs w:val="dateTime"/>
                              <w:calendar w:val="gregorian"/>
                            </w:date>
                          </w:sdtPr>
                          <w:sdtEndPr/>
                          <w:sdtContent>
                            <w:p w:rsidR="00D0021D" w:rsidRPr="008707BF" w:rsidRDefault="00D0021D" w:rsidP="00D63999">
                              <w:pPr>
                                <w:jc w:val="right"/>
                              </w:pPr>
                              <w:r>
                                <w:t xml:space="preserve">     </w:t>
                              </w:r>
                            </w:p>
                          </w:sdtContent>
                        </w:sdt>
                        <w:p w:rsidR="00D0021D" w:rsidRPr="008707BF" w:rsidRDefault="00D0021D" w:rsidP="00161E03"/>
                      </w:txbxContent>
                    </v:textbox>
                  </v:shape>
                </w:pict>
              </mc:Fallback>
            </mc:AlternateContent>
          </w:r>
          <w:r w:rsidR="00A36876" w:rsidRPr="00141B41">
            <w:rPr>
              <w:noProof/>
              <w:lang w:eastAsia="en-GB"/>
            </w:rPr>
            <mc:AlternateContent>
              <mc:Choice Requires="wps">
                <w:drawing>
                  <wp:anchor distT="0" distB="0" distL="114300" distR="114300" simplePos="0" relativeHeight="251661312" behindDoc="0" locked="0" layoutInCell="1" allowOverlap="1" wp14:anchorId="73DE9AFA" wp14:editId="3DEC4BBA">
                    <wp:simplePos x="0" y="0"/>
                    <wp:positionH relativeFrom="margin">
                      <wp:posOffset>-133350</wp:posOffset>
                    </wp:positionH>
                    <wp:positionV relativeFrom="paragraph">
                      <wp:posOffset>7238365</wp:posOffset>
                    </wp:positionV>
                    <wp:extent cx="1933575" cy="914400"/>
                    <wp:effectExtent l="0" t="0" r="9525"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021D" w:rsidRDefault="00D0021D" w:rsidP="00A36876">
                                <w:r>
                                  <w:t>Document:</w:t>
                                </w:r>
                              </w:p>
                              <w:p w:rsidR="00D0021D" w:rsidRPr="008707BF" w:rsidRDefault="00D0021D" w:rsidP="00A36876">
                                <w:r>
                                  <w:t>WNDP 2</w:t>
                                </w:r>
                              </w:p>
                              <w:p w:rsidR="00D0021D" w:rsidRPr="008707BF" w:rsidRDefault="00D0021D" w:rsidP="00A368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DE9AFA" id="_x0000_s1030" type="#_x0000_t202" style="position:absolute;margin-left:-10.5pt;margin-top:569.95pt;width:152.25pt;height:1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" stroked="f">
                    <v:textbox>
                      <w:txbxContent>
                        <w:p w:rsidR="00D0021D" w:rsidRDefault="00D0021D" w:rsidP="00A36876">
                          <w:r>
                            <w:t>Document:</w:t>
                          </w:r>
                        </w:p>
                        <w:p w:rsidR="00D0021D" w:rsidRPr="008707BF" w:rsidRDefault="00D0021D" w:rsidP="00A36876">
                          <w:r>
                            <w:t>WNDP 2</w:t>
                          </w:r>
                        </w:p>
                        <w:p w:rsidR="00D0021D" w:rsidRPr="008707BF" w:rsidRDefault="00D0021D" w:rsidP="00A36876"/>
                      </w:txbxContent>
                    </v:textbox>
                    <w10:wrap anchorx="margin"/>
                  </v:shape>
                </w:pict>
              </mc:Fallback>
            </mc:AlternateContent>
          </w:r>
          <w:r w:rsidR="00F969B9" w:rsidRPr="003F2168">
            <w:rPr>
              <w:noProof/>
              <w:lang w:eastAsia="en-GB"/>
            </w:rPr>
            <mc:AlternateContent>
              <mc:Choice Requires="wps">
                <w:drawing>
                  <wp:anchor distT="0" distB="0" distL="114300" distR="114300" simplePos="0" relativeHeight="251616768" behindDoc="0" locked="0" layoutInCell="0" allowOverlap="1" wp14:anchorId="2D21EF6B" wp14:editId="09EAB557">
                    <wp:simplePos x="0" y="0"/>
                    <wp:positionH relativeFrom="page">
                      <wp:posOffset>342900</wp:posOffset>
                    </wp:positionH>
                    <wp:positionV relativeFrom="page">
                      <wp:posOffset>3619500</wp:posOffset>
                    </wp:positionV>
                    <wp:extent cx="6848475" cy="1257300"/>
                    <wp:effectExtent l="0" t="0" r="2857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1257300"/>
                            </a:xfrm>
                            <a:prstGeom prst="rect">
                              <a:avLst/>
                            </a:prstGeom>
                            <a:solidFill>
                              <a:srgbClr val="4F6228"/>
                            </a:solidFill>
                            <a:ln w="12700">
                              <a:solidFill>
                                <a:schemeClr val="accent4">
                                  <a:lumMod val="100000"/>
                                  <a:lumOff val="0"/>
                                </a:schemeClr>
                              </a:solidFill>
                              <a:miter lim="800000"/>
                              <a:headEnd/>
                              <a:tailEnd/>
                            </a:ln>
                          </wps:spPr>
                          <wps:txbx>
                            <w:txbxContent>
                              <w:p w:rsidR="00D0021D" w:rsidRPr="001A79C6" w:rsidRDefault="00B13755" w:rsidP="009318BF">
                                <w:pPr>
                                  <w:pStyle w:val="Subtitle"/>
                                  <w:jc w:val="center"/>
                                </w:pPr>
                                <w:sdt>
                                  <w:sdtPr>
                                    <w:rPr>
                                      <w:rFonts w:ascii="Calibri" w:hAnsi="Calibri"/>
                                      <w:b/>
                                    </w:rPr>
                                    <w:alias w:val="Title"/>
                                    <w:tag w:val=""/>
                                    <w:id w:val="-1738085866"/>
                                    <w:dataBinding w:prefixMappings="xmlns:ns0='http://purl.org/dc/elements/1.1/' xmlns:ns1='http://schemas.openxmlformats.org/package/2006/metadata/core-properties' " w:xpath="/ns1:coreProperties[1]/ns0:title[1]" w:storeItemID="{6C3C8BC8-F283-45AE-878A-BAB7291924A1}"/>
                                    <w:text/>
                                  </w:sdtPr>
                                  <w:sdtEndPr/>
                                  <w:sdtContent>
                                    <w:r w:rsidR="00D0021D" w:rsidRPr="00651451">
                                      <w:rPr>
                                        <w:rFonts w:ascii="Calibri" w:hAnsi="Calibri"/>
                                        <w:b/>
                                      </w:rPr>
                                      <w:t>Basic Conditions Statement</w:t>
                                    </w:r>
                                  </w:sdtContent>
                                </w:sdt>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41F939" id="Rectangle 16" o:spid="_x0000_s1030" style="position:absolute;margin-left:27pt;margin-top:285pt;width:539.25pt;height:99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" o:allowincell="f" fillcolor="#4f6228" strokecolor="#956251 [3207]" strokeweight="1pt">
                    <v:textbox inset="14.4pt,,14.4pt">
                      <w:txbxContent>
                        <w:p w:rsidR="00D0021D" w:rsidRPr="001A79C6" w:rsidRDefault="006D293C" w:rsidP="009318BF">
                          <w:pPr>
                            <w:pStyle w:val="Subtitle"/>
                            <w:jc w:val="center"/>
                          </w:pPr>
                          <w:sdt>
                            <w:sdtPr>
                              <w:rPr>
                                <w:rFonts w:ascii="Calibri" w:hAnsi="Calibri"/>
                                <w:b/>
                              </w:rPr>
                              <w:alias w:val="Title"/>
                              <w:tag w:val=""/>
                              <w:id w:val="-1738085866"/>
                              <w:dataBinding w:prefixMappings="xmlns:ns0='http://purl.org/dc/elements/1.1/' xmlns:ns1='http://schemas.openxmlformats.org/package/2006/metadata/core-properties' " w:xpath="/ns1:coreProperties[1]/ns0:title[1]" w:storeItemID="{6C3C8BC8-F283-45AE-878A-BAB7291924A1}"/>
                              <w:text/>
                            </w:sdtPr>
                            <w:sdtEndPr/>
                            <w:sdtContent>
                              <w:r w:rsidR="00D0021D" w:rsidRPr="00651451">
                                <w:rPr>
                                  <w:rFonts w:ascii="Calibri" w:hAnsi="Calibri"/>
                                  <w:b/>
                                </w:rPr>
                                <w:t>Basic Conditions Statement</w:t>
                              </w:r>
                            </w:sdtContent>
                          </w:sdt>
                        </w:p>
                      </w:txbxContent>
                    </v:textbox>
                    <w10:wrap anchorx="page" anchory="page"/>
                  </v:rect>
                </w:pict>
              </mc:Fallback>
            </mc:AlternateContent>
          </w:r>
          <w:r w:rsidR="00422AC5" w:rsidRPr="003F2168">
            <w:br w:type="page"/>
          </w:r>
        </w:p>
        <w:p w:rsidR="00422AC5" w:rsidRPr="003F2168" w:rsidRDefault="00F969B9" w:rsidP="00F969B9">
          <w:pPr>
            <w:jc w:val="center"/>
          </w:pPr>
          <w:r>
            <w:rPr>
              <w:rFonts w:ascii="Arial" w:hAnsi="Arial" w:cs="Arial"/>
              <w:noProof/>
              <w:sz w:val="20"/>
              <w:szCs w:val="20"/>
              <w:lang w:eastAsia="en-GB"/>
            </w:rPr>
            <w:lastRenderedPageBreak/>
            <w:drawing>
              <wp:inline distT="0" distB="0" distL="0" distR="0" wp14:anchorId="61E6882C" wp14:editId="6402FA91">
                <wp:extent cx="4670362" cy="5267325"/>
                <wp:effectExtent l="0" t="0" r="0" b="0"/>
                <wp:docPr id="25" name="Picture 25" descr="Image result for Watlington town hall Oxford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atlington town hall Oxfordshi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8061" cy="5276008"/>
                        </a:xfrm>
                        <a:prstGeom prst="rect">
                          <a:avLst/>
                        </a:prstGeom>
                        <a:noFill/>
                        <a:ln>
                          <a:noFill/>
                        </a:ln>
                      </pic:spPr>
                    </pic:pic>
                  </a:graphicData>
                </a:graphic>
              </wp:inline>
            </w:drawing>
          </w:r>
        </w:p>
      </w:sdtContent>
    </w:sdt>
    <w:p w:rsidR="00F4424F" w:rsidRDefault="0040588C" w:rsidP="002A0A34">
      <w:pPr>
        <w:pStyle w:val="TOCHeading"/>
        <w:ind w:left="432"/>
        <w:rPr>
          <w:rFonts w:eastAsiaTheme="minorEastAsia" w:cstheme="minorBidi"/>
          <w:b w:val="0"/>
          <w:color w:val="auto"/>
          <w:sz w:val="22"/>
          <w:szCs w:val="22"/>
          <w:lang w:eastAsia="en-US"/>
        </w:rPr>
      </w:pPr>
      <w:r>
        <w:rPr>
          <w:rFonts w:eastAsiaTheme="minorEastAsia" w:cstheme="minorBidi"/>
          <w:b w:val="0"/>
          <w:color w:val="auto"/>
          <w:sz w:val="22"/>
          <w:szCs w:val="22"/>
          <w:lang w:eastAsia="en-US"/>
        </w:rPr>
        <w:t xml:space="preserve"> </w:t>
      </w:r>
    </w:p>
    <w:p w:rsidR="0040588C" w:rsidRPr="0040588C" w:rsidRDefault="0040588C" w:rsidP="0040588C">
      <w:pPr>
        <w:jc w:val="center"/>
      </w:pPr>
      <w:r>
        <w:t>Watlington Town Hall</w:t>
      </w:r>
    </w:p>
    <w:p w:rsidR="00F4424F" w:rsidRDefault="00F4424F" w:rsidP="00F4424F"/>
    <w:p w:rsidR="00F4424F" w:rsidRDefault="00F4424F" w:rsidP="00F4424F"/>
    <w:p w:rsidR="00F4424F" w:rsidRDefault="00F4424F" w:rsidP="00F4424F"/>
    <w:p w:rsidR="00F4424F" w:rsidRDefault="00F4424F" w:rsidP="00F4424F"/>
    <w:p w:rsidR="00F4424F" w:rsidRPr="00F4424F" w:rsidRDefault="00F4424F" w:rsidP="00F4424F"/>
    <w:p w:rsidR="00F4424F" w:rsidRDefault="00F4424F" w:rsidP="002A0A34">
      <w:pPr>
        <w:pStyle w:val="TOCHeading"/>
        <w:ind w:left="432"/>
        <w:rPr>
          <w:rFonts w:eastAsiaTheme="minorEastAsia" w:cstheme="minorBidi"/>
          <w:b w:val="0"/>
          <w:color w:val="auto"/>
          <w:sz w:val="22"/>
          <w:szCs w:val="22"/>
          <w:lang w:eastAsia="en-US"/>
        </w:rPr>
      </w:pPr>
    </w:p>
    <w:p w:rsidR="003B6747" w:rsidRPr="003B6747" w:rsidRDefault="003B6747" w:rsidP="003B6747"/>
    <w:p w:rsidR="00F4424F" w:rsidRDefault="00F4424F" w:rsidP="002A0A34">
      <w:pPr>
        <w:pStyle w:val="TOCHeading"/>
        <w:ind w:left="432"/>
        <w:rPr>
          <w:rFonts w:eastAsiaTheme="minorEastAsia" w:cstheme="minorBidi"/>
          <w:b w:val="0"/>
          <w:color w:val="auto"/>
          <w:sz w:val="22"/>
          <w:szCs w:val="22"/>
          <w:lang w:eastAsia="en-US"/>
        </w:rPr>
      </w:pPr>
    </w:p>
    <w:p w:rsidR="00AF3EAE" w:rsidRPr="00AF3EAE" w:rsidRDefault="00AF3EAE" w:rsidP="00AF3EAE"/>
    <w:sdt>
      <w:sdtPr>
        <w:rPr>
          <w:rFonts w:eastAsiaTheme="minorEastAsia" w:cstheme="minorBidi"/>
          <w:b w:val="0"/>
          <w:color w:val="auto"/>
          <w:sz w:val="22"/>
          <w:szCs w:val="22"/>
          <w:lang w:eastAsia="en-US"/>
        </w:rPr>
        <w:id w:val="-2107564926"/>
        <w:docPartObj>
          <w:docPartGallery w:val="Table of Contents"/>
          <w:docPartUnique/>
        </w:docPartObj>
      </w:sdtPr>
      <w:sdtEndPr>
        <w:rPr>
          <w:bCs/>
          <w:noProof/>
        </w:rPr>
      </w:sdtEndPr>
      <w:sdtContent>
        <w:p w:rsidR="00226F2A" w:rsidRDefault="00226F2A">
          <w:pPr>
            <w:pStyle w:val="TOCHeading"/>
          </w:pPr>
          <w:r>
            <w:t>Contents</w:t>
          </w:r>
        </w:p>
        <w:p w:rsidR="00C27F90" w:rsidRDefault="00226F2A">
          <w:pPr>
            <w:pStyle w:val="TOC1"/>
            <w:rPr>
              <w:rFonts w:asciiTheme="minorHAnsi" w:hAnsiTheme="minorHAnsi"/>
              <w:noProof/>
              <w:lang w:eastAsia="en-GB"/>
            </w:rPr>
          </w:pPr>
          <w:r>
            <w:fldChar w:fldCharType="begin"/>
          </w:r>
          <w:r>
            <w:instrText xml:space="preserve"> TOC \o "1-3" \h \z \u </w:instrText>
          </w:r>
          <w:r>
            <w:fldChar w:fldCharType="separate"/>
          </w:r>
          <w:hyperlink w:anchor="_Toc512501008" w:history="1">
            <w:r w:rsidR="00C27F90" w:rsidRPr="005C7733">
              <w:rPr>
                <w:rStyle w:val="Hyperlink"/>
                <w:rFonts w:asciiTheme="majorHAnsi" w:eastAsiaTheme="majorEastAsia" w:hAnsiTheme="majorHAnsi" w:cstheme="majorBidi"/>
                <w:noProof/>
              </w:rPr>
              <w:t>1.</w:t>
            </w:r>
            <w:r w:rsidR="00C27F90">
              <w:rPr>
                <w:rFonts w:asciiTheme="minorHAnsi" w:hAnsiTheme="minorHAnsi"/>
                <w:noProof/>
                <w:lang w:eastAsia="en-GB"/>
              </w:rPr>
              <w:tab/>
            </w:r>
            <w:r w:rsidR="00C27F90" w:rsidRPr="005C7733">
              <w:rPr>
                <w:rStyle w:val="Hyperlink"/>
                <w:noProof/>
              </w:rPr>
              <w:t>INTRODUCTION AND BASIC CONDITIONS</w:t>
            </w:r>
            <w:r w:rsidR="00C27F90">
              <w:rPr>
                <w:noProof/>
                <w:webHidden/>
              </w:rPr>
              <w:tab/>
            </w:r>
            <w:r w:rsidR="00C27F90">
              <w:rPr>
                <w:noProof/>
                <w:webHidden/>
              </w:rPr>
              <w:fldChar w:fldCharType="begin"/>
            </w:r>
            <w:r w:rsidR="00C27F90">
              <w:rPr>
                <w:noProof/>
                <w:webHidden/>
              </w:rPr>
              <w:instrText xml:space="preserve"> PAGEREF _Toc512501008 \h </w:instrText>
            </w:r>
            <w:r w:rsidR="00C27F90">
              <w:rPr>
                <w:noProof/>
                <w:webHidden/>
              </w:rPr>
            </w:r>
            <w:r w:rsidR="00C27F90">
              <w:rPr>
                <w:noProof/>
                <w:webHidden/>
              </w:rPr>
              <w:fldChar w:fldCharType="separate"/>
            </w:r>
            <w:r w:rsidR="00C27F90">
              <w:rPr>
                <w:noProof/>
                <w:webHidden/>
              </w:rPr>
              <w:t>5</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09" w:history="1">
            <w:r w:rsidR="00C27F90" w:rsidRPr="005C7733">
              <w:rPr>
                <w:rStyle w:val="Hyperlink"/>
                <w:rFonts w:cs="Calibri"/>
                <w:bCs/>
                <w:noProof/>
              </w:rPr>
              <w:t>1.1</w:t>
            </w:r>
            <w:r w:rsidR="00C27F90">
              <w:rPr>
                <w:rFonts w:asciiTheme="minorHAnsi" w:hAnsiTheme="minorHAnsi"/>
                <w:noProof/>
                <w:lang w:eastAsia="en-GB"/>
              </w:rPr>
              <w:tab/>
            </w:r>
            <w:r w:rsidR="00C27F90" w:rsidRPr="005C7733">
              <w:rPr>
                <w:rStyle w:val="Hyperlink"/>
                <w:noProof/>
              </w:rPr>
              <w:t>Qualifying Statement</w:t>
            </w:r>
            <w:r w:rsidR="00C27F90">
              <w:rPr>
                <w:noProof/>
                <w:webHidden/>
              </w:rPr>
              <w:tab/>
            </w:r>
            <w:r w:rsidR="00C27F90">
              <w:rPr>
                <w:noProof/>
                <w:webHidden/>
              </w:rPr>
              <w:fldChar w:fldCharType="begin"/>
            </w:r>
            <w:r w:rsidR="00C27F90">
              <w:rPr>
                <w:noProof/>
                <w:webHidden/>
              </w:rPr>
              <w:instrText xml:space="preserve"> PAGEREF _Toc512501009 \h </w:instrText>
            </w:r>
            <w:r w:rsidR="00C27F90">
              <w:rPr>
                <w:noProof/>
                <w:webHidden/>
              </w:rPr>
            </w:r>
            <w:r w:rsidR="00C27F90">
              <w:rPr>
                <w:noProof/>
                <w:webHidden/>
              </w:rPr>
              <w:fldChar w:fldCharType="separate"/>
            </w:r>
            <w:r w:rsidR="00C27F90">
              <w:rPr>
                <w:noProof/>
                <w:webHidden/>
              </w:rPr>
              <w:t>5</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0" w:history="1">
            <w:r w:rsidR="00C27F90" w:rsidRPr="005C7733">
              <w:rPr>
                <w:rStyle w:val="Hyperlink"/>
                <w:noProof/>
              </w:rPr>
              <w:t>1.2</w:t>
            </w:r>
            <w:r w:rsidR="00C27F90">
              <w:rPr>
                <w:rFonts w:asciiTheme="minorHAnsi" w:hAnsiTheme="minorHAnsi"/>
                <w:noProof/>
                <w:lang w:eastAsia="en-GB"/>
              </w:rPr>
              <w:tab/>
            </w:r>
            <w:r w:rsidR="00C27F90" w:rsidRPr="005C7733">
              <w:rPr>
                <w:rStyle w:val="Hyperlink"/>
                <w:rFonts w:eastAsia="Arial Unicode MS"/>
                <w:noProof/>
              </w:rPr>
              <w:t>Designated Neighbourhood Area.</w:t>
            </w:r>
            <w:r w:rsidR="00C27F90">
              <w:rPr>
                <w:noProof/>
                <w:webHidden/>
              </w:rPr>
              <w:tab/>
            </w:r>
            <w:r w:rsidR="00C27F90">
              <w:rPr>
                <w:noProof/>
                <w:webHidden/>
              </w:rPr>
              <w:fldChar w:fldCharType="begin"/>
            </w:r>
            <w:r w:rsidR="00C27F90">
              <w:rPr>
                <w:noProof/>
                <w:webHidden/>
              </w:rPr>
              <w:instrText xml:space="preserve"> PAGEREF _Toc512501010 \h </w:instrText>
            </w:r>
            <w:r w:rsidR="00C27F90">
              <w:rPr>
                <w:noProof/>
                <w:webHidden/>
              </w:rPr>
            </w:r>
            <w:r w:rsidR="00C27F90">
              <w:rPr>
                <w:noProof/>
                <w:webHidden/>
              </w:rPr>
              <w:fldChar w:fldCharType="separate"/>
            </w:r>
            <w:r w:rsidR="00C27F90">
              <w:rPr>
                <w:noProof/>
                <w:webHidden/>
              </w:rPr>
              <w:t>5</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1" w:history="1">
            <w:r w:rsidR="00C27F90" w:rsidRPr="005C7733">
              <w:rPr>
                <w:rStyle w:val="Hyperlink"/>
                <w:noProof/>
              </w:rPr>
              <w:t>1.3</w:t>
            </w:r>
            <w:r w:rsidR="00C27F90">
              <w:rPr>
                <w:rFonts w:asciiTheme="minorHAnsi" w:hAnsiTheme="minorHAnsi"/>
                <w:noProof/>
                <w:lang w:eastAsia="en-GB"/>
              </w:rPr>
              <w:tab/>
            </w:r>
            <w:r w:rsidR="00C27F90" w:rsidRPr="005C7733">
              <w:rPr>
                <w:rStyle w:val="Hyperlink"/>
                <w:noProof/>
              </w:rPr>
              <w:t>Why Watlington needs a Neighbourhood Development Plan</w:t>
            </w:r>
            <w:r w:rsidR="00C27F90">
              <w:rPr>
                <w:noProof/>
                <w:webHidden/>
              </w:rPr>
              <w:tab/>
            </w:r>
            <w:r w:rsidR="00C27F90">
              <w:rPr>
                <w:noProof/>
                <w:webHidden/>
              </w:rPr>
              <w:fldChar w:fldCharType="begin"/>
            </w:r>
            <w:r w:rsidR="00C27F90">
              <w:rPr>
                <w:noProof/>
                <w:webHidden/>
              </w:rPr>
              <w:instrText xml:space="preserve"> PAGEREF _Toc512501011 \h </w:instrText>
            </w:r>
            <w:r w:rsidR="00C27F90">
              <w:rPr>
                <w:noProof/>
                <w:webHidden/>
              </w:rPr>
            </w:r>
            <w:r w:rsidR="00C27F90">
              <w:rPr>
                <w:noProof/>
                <w:webHidden/>
              </w:rPr>
              <w:fldChar w:fldCharType="separate"/>
            </w:r>
            <w:r w:rsidR="00C27F90">
              <w:rPr>
                <w:noProof/>
                <w:webHidden/>
              </w:rPr>
              <w:t>7</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2" w:history="1">
            <w:r w:rsidR="00C27F90" w:rsidRPr="005C7733">
              <w:rPr>
                <w:rStyle w:val="Hyperlink"/>
                <w:noProof/>
              </w:rPr>
              <w:t>1.4</w:t>
            </w:r>
            <w:r w:rsidR="00C27F90">
              <w:rPr>
                <w:rFonts w:asciiTheme="minorHAnsi" w:hAnsiTheme="minorHAnsi"/>
                <w:noProof/>
                <w:lang w:eastAsia="en-GB"/>
              </w:rPr>
              <w:tab/>
            </w:r>
            <w:r w:rsidR="00C27F90" w:rsidRPr="005C7733">
              <w:rPr>
                <w:rStyle w:val="Hyperlink"/>
                <w:noProof/>
              </w:rPr>
              <w:t>Planned growth of Watlington</w:t>
            </w:r>
            <w:r w:rsidR="00C27F90">
              <w:rPr>
                <w:noProof/>
                <w:webHidden/>
              </w:rPr>
              <w:tab/>
            </w:r>
            <w:r w:rsidR="00C27F90">
              <w:rPr>
                <w:noProof/>
                <w:webHidden/>
              </w:rPr>
              <w:fldChar w:fldCharType="begin"/>
            </w:r>
            <w:r w:rsidR="00C27F90">
              <w:rPr>
                <w:noProof/>
                <w:webHidden/>
              </w:rPr>
              <w:instrText xml:space="preserve"> PAGEREF _Toc512501012 \h </w:instrText>
            </w:r>
            <w:r w:rsidR="00C27F90">
              <w:rPr>
                <w:noProof/>
                <w:webHidden/>
              </w:rPr>
            </w:r>
            <w:r w:rsidR="00C27F90">
              <w:rPr>
                <w:noProof/>
                <w:webHidden/>
              </w:rPr>
              <w:fldChar w:fldCharType="separate"/>
            </w:r>
            <w:r w:rsidR="00C27F90">
              <w:rPr>
                <w:noProof/>
                <w:webHidden/>
              </w:rPr>
              <w:t>7</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3" w:history="1">
            <w:r w:rsidR="00C27F90" w:rsidRPr="005C7733">
              <w:rPr>
                <w:rStyle w:val="Hyperlink"/>
                <w:noProof/>
              </w:rPr>
              <w:t>1.5</w:t>
            </w:r>
            <w:r w:rsidR="00C27F90">
              <w:rPr>
                <w:rFonts w:asciiTheme="minorHAnsi" w:hAnsiTheme="minorHAnsi"/>
                <w:noProof/>
                <w:lang w:eastAsia="en-GB"/>
              </w:rPr>
              <w:tab/>
            </w:r>
            <w:r w:rsidR="00C27F90" w:rsidRPr="005C7733">
              <w:rPr>
                <w:rStyle w:val="Hyperlink"/>
                <w:noProof/>
              </w:rPr>
              <w:t>Basic Conditions</w:t>
            </w:r>
            <w:r w:rsidR="00C27F90">
              <w:rPr>
                <w:noProof/>
                <w:webHidden/>
              </w:rPr>
              <w:tab/>
            </w:r>
            <w:r w:rsidR="00C27F90">
              <w:rPr>
                <w:noProof/>
                <w:webHidden/>
              </w:rPr>
              <w:fldChar w:fldCharType="begin"/>
            </w:r>
            <w:r w:rsidR="00C27F90">
              <w:rPr>
                <w:noProof/>
                <w:webHidden/>
              </w:rPr>
              <w:instrText xml:space="preserve"> PAGEREF _Toc512501013 \h </w:instrText>
            </w:r>
            <w:r w:rsidR="00C27F90">
              <w:rPr>
                <w:noProof/>
                <w:webHidden/>
              </w:rPr>
            </w:r>
            <w:r w:rsidR="00C27F90">
              <w:rPr>
                <w:noProof/>
                <w:webHidden/>
              </w:rPr>
              <w:fldChar w:fldCharType="separate"/>
            </w:r>
            <w:r w:rsidR="00C27F90">
              <w:rPr>
                <w:noProof/>
                <w:webHidden/>
              </w:rPr>
              <w:t>7</w:t>
            </w:r>
            <w:r w:rsidR="00C27F90">
              <w:rPr>
                <w:noProof/>
                <w:webHidden/>
              </w:rPr>
              <w:fldChar w:fldCharType="end"/>
            </w:r>
          </w:hyperlink>
        </w:p>
        <w:p w:rsidR="00C27F90" w:rsidRDefault="00B13755">
          <w:pPr>
            <w:pStyle w:val="TOC1"/>
            <w:rPr>
              <w:rFonts w:asciiTheme="minorHAnsi" w:hAnsiTheme="minorHAnsi"/>
              <w:noProof/>
              <w:lang w:eastAsia="en-GB"/>
            </w:rPr>
          </w:pPr>
          <w:hyperlink w:anchor="_Toc512501014" w:history="1">
            <w:r w:rsidR="00C27F90" w:rsidRPr="005C7733">
              <w:rPr>
                <w:rStyle w:val="Hyperlink"/>
                <w:rFonts w:asciiTheme="majorHAnsi" w:eastAsiaTheme="majorEastAsia" w:hAnsiTheme="majorHAnsi" w:cstheme="majorBidi"/>
                <w:noProof/>
              </w:rPr>
              <w:t>2.</w:t>
            </w:r>
            <w:r w:rsidR="00C27F90">
              <w:rPr>
                <w:rFonts w:asciiTheme="minorHAnsi" w:hAnsiTheme="minorHAnsi"/>
                <w:noProof/>
                <w:lang w:eastAsia="en-GB"/>
              </w:rPr>
              <w:tab/>
            </w:r>
            <w:r w:rsidR="00C27F90" w:rsidRPr="005C7733">
              <w:rPr>
                <w:rStyle w:val="Hyperlink"/>
                <w:noProof/>
              </w:rPr>
              <w:t>CONFORMITY WITH NATIONAL POLICIES AND GUIDANCE</w:t>
            </w:r>
            <w:r w:rsidR="00C27F90">
              <w:rPr>
                <w:noProof/>
                <w:webHidden/>
              </w:rPr>
              <w:tab/>
            </w:r>
            <w:r w:rsidR="00C27F90">
              <w:rPr>
                <w:noProof/>
                <w:webHidden/>
              </w:rPr>
              <w:fldChar w:fldCharType="begin"/>
            </w:r>
            <w:r w:rsidR="00C27F90">
              <w:rPr>
                <w:noProof/>
                <w:webHidden/>
              </w:rPr>
              <w:instrText xml:space="preserve"> PAGEREF _Toc512501014 \h </w:instrText>
            </w:r>
            <w:r w:rsidR="00C27F90">
              <w:rPr>
                <w:noProof/>
                <w:webHidden/>
              </w:rPr>
            </w:r>
            <w:r w:rsidR="00C27F90">
              <w:rPr>
                <w:noProof/>
                <w:webHidden/>
              </w:rPr>
              <w:fldChar w:fldCharType="separate"/>
            </w:r>
            <w:r w:rsidR="00C27F90">
              <w:rPr>
                <w:noProof/>
                <w:webHidden/>
              </w:rPr>
              <w:t>8</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5" w:history="1">
            <w:r w:rsidR="00C27F90" w:rsidRPr="005C7733">
              <w:rPr>
                <w:rStyle w:val="Hyperlink"/>
                <w:rFonts w:eastAsia="Arial Unicode MS"/>
                <w:noProof/>
              </w:rPr>
              <w:t>2.1</w:t>
            </w:r>
            <w:r w:rsidR="00C27F90">
              <w:rPr>
                <w:rFonts w:asciiTheme="minorHAnsi" w:hAnsiTheme="minorHAnsi"/>
                <w:noProof/>
                <w:lang w:eastAsia="en-GB"/>
              </w:rPr>
              <w:tab/>
            </w:r>
            <w:r w:rsidR="00C27F90" w:rsidRPr="005C7733">
              <w:rPr>
                <w:rStyle w:val="Hyperlink"/>
                <w:noProof/>
              </w:rPr>
              <w:t>Nationa</w:t>
            </w:r>
            <w:r w:rsidR="00C27F90" w:rsidRPr="005C7733">
              <w:rPr>
                <w:rStyle w:val="Hyperlink"/>
                <w:rFonts w:eastAsia="Arial Unicode MS"/>
                <w:noProof/>
              </w:rPr>
              <w:t>l Planning Policy Framework</w:t>
            </w:r>
            <w:r w:rsidR="00C27F90" w:rsidRPr="005C7733">
              <w:rPr>
                <w:rStyle w:val="Hyperlink"/>
                <w:noProof/>
              </w:rPr>
              <w:t xml:space="preserve"> (NPPF)</w:t>
            </w:r>
            <w:r w:rsidR="00C27F90" w:rsidRPr="005C7733">
              <w:rPr>
                <w:rStyle w:val="Hyperlink"/>
                <w:rFonts w:eastAsia="Arial Unicode MS"/>
                <w:noProof/>
              </w:rPr>
              <w:t>.</w:t>
            </w:r>
            <w:r w:rsidR="00C27F90">
              <w:rPr>
                <w:noProof/>
                <w:webHidden/>
              </w:rPr>
              <w:tab/>
            </w:r>
            <w:r w:rsidR="00C27F90">
              <w:rPr>
                <w:noProof/>
                <w:webHidden/>
              </w:rPr>
              <w:fldChar w:fldCharType="begin"/>
            </w:r>
            <w:r w:rsidR="00C27F90">
              <w:rPr>
                <w:noProof/>
                <w:webHidden/>
              </w:rPr>
              <w:instrText xml:space="preserve"> PAGEREF _Toc512501015 \h </w:instrText>
            </w:r>
            <w:r w:rsidR="00C27F90">
              <w:rPr>
                <w:noProof/>
                <w:webHidden/>
              </w:rPr>
            </w:r>
            <w:r w:rsidR="00C27F90">
              <w:rPr>
                <w:noProof/>
                <w:webHidden/>
              </w:rPr>
              <w:fldChar w:fldCharType="separate"/>
            </w:r>
            <w:r w:rsidR="00C27F90">
              <w:rPr>
                <w:noProof/>
                <w:webHidden/>
              </w:rPr>
              <w:t>8</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6" w:history="1">
            <w:r w:rsidR="00C27F90" w:rsidRPr="005C7733">
              <w:rPr>
                <w:rStyle w:val="Hyperlink"/>
                <w:noProof/>
              </w:rPr>
              <w:t>2.2</w:t>
            </w:r>
            <w:r w:rsidR="00C27F90">
              <w:rPr>
                <w:rFonts w:asciiTheme="minorHAnsi" w:hAnsiTheme="minorHAnsi"/>
                <w:noProof/>
                <w:lang w:eastAsia="en-GB"/>
              </w:rPr>
              <w:tab/>
            </w:r>
            <w:r w:rsidR="00C27F90" w:rsidRPr="005C7733">
              <w:rPr>
                <w:rStyle w:val="Hyperlink"/>
                <w:noProof/>
              </w:rPr>
              <w:t>National Planning Practice Guidance (PPG):</w:t>
            </w:r>
            <w:r w:rsidR="00C27F90">
              <w:rPr>
                <w:noProof/>
                <w:webHidden/>
              </w:rPr>
              <w:tab/>
            </w:r>
            <w:r w:rsidR="00C27F90">
              <w:rPr>
                <w:noProof/>
                <w:webHidden/>
              </w:rPr>
              <w:fldChar w:fldCharType="begin"/>
            </w:r>
            <w:r w:rsidR="00C27F90">
              <w:rPr>
                <w:noProof/>
                <w:webHidden/>
              </w:rPr>
              <w:instrText xml:space="preserve"> PAGEREF _Toc512501016 \h </w:instrText>
            </w:r>
            <w:r w:rsidR="00C27F90">
              <w:rPr>
                <w:noProof/>
                <w:webHidden/>
              </w:rPr>
            </w:r>
            <w:r w:rsidR="00C27F90">
              <w:rPr>
                <w:noProof/>
                <w:webHidden/>
              </w:rPr>
              <w:fldChar w:fldCharType="separate"/>
            </w:r>
            <w:r w:rsidR="00C27F90">
              <w:rPr>
                <w:noProof/>
                <w:webHidden/>
              </w:rPr>
              <w:t>8</w:t>
            </w:r>
            <w:r w:rsidR="00C27F90">
              <w:rPr>
                <w:noProof/>
                <w:webHidden/>
              </w:rPr>
              <w:fldChar w:fldCharType="end"/>
            </w:r>
          </w:hyperlink>
        </w:p>
        <w:p w:rsidR="00C27F90" w:rsidRDefault="00B13755">
          <w:pPr>
            <w:pStyle w:val="TOC1"/>
            <w:rPr>
              <w:rFonts w:asciiTheme="minorHAnsi" w:hAnsiTheme="minorHAnsi"/>
              <w:noProof/>
              <w:lang w:eastAsia="en-GB"/>
            </w:rPr>
          </w:pPr>
          <w:hyperlink w:anchor="_Toc512501017" w:history="1">
            <w:r w:rsidR="00C27F90" w:rsidRPr="005C7733">
              <w:rPr>
                <w:rStyle w:val="Hyperlink"/>
                <w:rFonts w:asciiTheme="majorHAnsi" w:eastAsiaTheme="majorEastAsia" w:hAnsiTheme="majorHAnsi" w:cstheme="majorBidi"/>
                <w:noProof/>
              </w:rPr>
              <w:t>3.</w:t>
            </w:r>
            <w:r w:rsidR="00C27F90">
              <w:rPr>
                <w:rFonts w:asciiTheme="minorHAnsi" w:hAnsiTheme="minorHAnsi"/>
                <w:noProof/>
                <w:lang w:eastAsia="en-GB"/>
              </w:rPr>
              <w:tab/>
            </w:r>
            <w:r w:rsidR="00C27F90" w:rsidRPr="005C7733">
              <w:rPr>
                <w:rStyle w:val="Hyperlink"/>
                <w:noProof/>
              </w:rPr>
              <w:t>CONTRIBUTION TO SUSTAINABLE DEVELOPMENT</w:t>
            </w:r>
            <w:r w:rsidR="00C27F90">
              <w:rPr>
                <w:noProof/>
                <w:webHidden/>
              </w:rPr>
              <w:tab/>
            </w:r>
            <w:r w:rsidR="00C27F90">
              <w:rPr>
                <w:noProof/>
                <w:webHidden/>
              </w:rPr>
              <w:fldChar w:fldCharType="begin"/>
            </w:r>
            <w:r w:rsidR="00C27F90">
              <w:rPr>
                <w:noProof/>
                <w:webHidden/>
              </w:rPr>
              <w:instrText xml:space="preserve"> PAGEREF _Toc512501017 \h </w:instrText>
            </w:r>
            <w:r w:rsidR="00C27F90">
              <w:rPr>
                <w:noProof/>
                <w:webHidden/>
              </w:rPr>
            </w:r>
            <w:r w:rsidR="00C27F90">
              <w:rPr>
                <w:noProof/>
                <w:webHidden/>
              </w:rPr>
              <w:fldChar w:fldCharType="separate"/>
            </w:r>
            <w:r w:rsidR="00C27F90">
              <w:rPr>
                <w:noProof/>
                <w:webHidden/>
              </w:rPr>
              <w:t>13</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8" w:history="1">
            <w:r w:rsidR="00C27F90" w:rsidRPr="005C7733">
              <w:rPr>
                <w:rStyle w:val="Hyperlink"/>
                <w:noProof/>
              </w:rPr>
              <w:t>3.1</w:t>
            </w:r>
            <w:r w:rsidR="00C27F90">
              <w:rPr>
                <w:rFonts w:asciiTheme="minorHAnsi" w:hAnsiTheme="minorHAnsi"/>
                <w:noProof/>
                <w:lang w:eastAsia="en-GB"/>
              </w:rPr>
              <w:tab/>
            </w:r>
            <w:r w:rsidR="00C27F90" w:rsidRPr="005C7733">
              <w:rPr>
                <w:rStyle w:val="Hyperlink"/>
                <w:noProof/>
              </w:rPr>
              <w:t>Concept of Sustainable Development</w:t>
            </w:r>
            <w:r w:rsidR="00C27F90">
              <w:rPr>
                <w:noProof/>
                <w:webHidden/>
              </w:rPr>
              <w:tab/>
            </w:r>
            <w:r w:rsidR="00C27F90">
              <w:rPr>
                <w:noProof/>
                <w:webHidden/>
              </w:rPr>
              <w:fldChar w:fldCharType="begin"/>
            </w:r>
            <w:r w:rsidR="00C27F90">
              <w:rPr>
                <w:noProof/>
                <w:webHidden/>
              </w:rPr>
              <w:instrText xml:space="preserve"> PAGEREF _Toc512501018 \h </w:instrText>
            </w:r>
            <w:r w:rsidR="00C27F90">
              <w:rPr>
                <w:noProof/>
                <w:webHidden/>
              </w:rPr>
            </w:r>
            <w:r w:rsidR="00C27F90">
              <w:rPr>
                <w:noProof/>
                <w:webHidden/>
              </w:rPr>
              <w:fldChar w:fldCharType="separate"/>
            </w:r>
            <w:r w:rsidR="00C27F90">
              <w:rPr>
                <w:noProof/>
                <w:webHidden/>
              </w:rPr>
              <w:t>13</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19" w:history="1">
            <w:r w:rsidR="00C27F90" w:rsidRPr="005C7733">
              <w:rPr>
                <w:rStyle w:val="Hyperlink"/>
                <w:noProof/>
              </w:rPr>
              <w:t>3.2</w:t>
            </w:r>
            <w:r w:rsidR="00C27F90">
              <w:rPr>
                <w:rFonts w:asciiTheme="minorHAnsi" w:hAnsiTheme="minorHAnsi"/>
                <w:noProof/>
                <w:lang w:eastAsia="en-GB"/>
              </w:rPr>
              <w:tab/>
            </w:r>
            <w:r w:rsidR="00C27F90" w:rsidRPr="005C7733">
              <w:rPr>
                <w:rStyle w:val="Hyperlink"/>
                <w:noProof/>
              </w:rPr>
              <w:t>The WNDP meets the need for sustainable growth in the following ways:</w:t>
            </w:r>
            <w:r w:rsidR="00C27F90">
              <w:rPr>
                <w:noProof/>
                <w:webHidden/>
              </w:rPr>
              <w:tab/>
            </w:r>
            <w:r w:rsidR="00C27F90">
              <w:rPr>
                <w:noProof/>
                <w:webHidden/>
              </w:rPr>
              <w:fldChar w:fldCharType="begin"/>
            </w:r>
            <w:r w:rsidR="00C27F90">
              <w:rPr>
                <w:noProof/>
                <w:webHidden/>
              </w:rPr>
              <w:instrText xml:space="preserve"> PAGEREF _Toc512501019 \h </w:instrText>
            </w:r>
            <w:r w:rsidR="00C27F90">
              <w:rPr>
                <w:noProof/>
                <w:webHidden/>
              </w:rPr>
            </w:r>
            <w:r w:rsidR="00C27F90">
              <w:rPr>
                <w:noProof/>
                <w:webHidden/>
              </w:rPr>
              <w:fldChar w:fldCharType="separate"/>
            </w:r>
            <w:r w:rsidR="00C27F90">
              <w:rPr>
                <w:noProof/>
                <w:webHidden/>
              </w:rPr>
              <w:t>13</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0" w:history="1">
            <w:r w:rsidR="00C27F90" w:rsidRPr="005C7733">
              <w:rPr>
                <w:rStyle w:val="Hyperlink"/>
                <w:noProof/>
              </w:rPr>
              <w:t>3.3</w:t>
            </w:r>
            <w:r w:rsidR="00C27F90">
              <w:rPr>
                <w:rFonts w:asciiTheme="minorHAnsi" w:hAnsiTheme="minorHAnsi"/>
                <w:noProof/>
                <w:lang w:eastAsia="en-GB"/>
              </w:rPr>
              <w:tab/>
            </w:r>
            <w:r w:rsidR="00C27F90" w:rsidRPr="005C7733">
              <w:rPr>
                <w:rStyle w:val="Hyperlink"/>
                <w:noProof/>
              </w:rPr>
              <w:t>Sustainability Appraisal Scoping Report and Sustainability Appraisal/Environmental Report</w:t>
            </w:r>
            <w:r w:rsidR="00C27F90">
              <w:rPr>
                <w:noProof/>
                <w:webHidden/>
              </w:rPr>
              <w:tab/>
            </w:r>
            <w:r w:rsidR="00C27F90">
              <w:rPr>
                <w:noProof/>
                <w:webHidden/>
              </w:rPr>
              <w:fldChar w:fldCharType="begin"/>
            </w:r>
            <w:r w:rsidR="00C27F90">
              <w:rPr>
                <w:noProof/>
                <w:webHidden/>
              </w:rPr>
              <w:instrText xml:space="preserve"> PAGEREF _Toc512501020 \h </w:instrText>
            </w:r>
            <w:r w:rsidR="00C27F90">
              <w:rPr>
                <w:noProof/>
                <w:webHidden/>
              </w:rPr>
            </w:r>
            <w:r w:rsidR="00C27F90">
              <w:rPr>
                <w:noProof/>
                <w:webHidden/>
              </w:rPr>
              <w:fldChar w:fldCharType="separate"/>
            </w:r>
            <w:r w:rsidR="00C27F90">
              <w:rPr>
                <w:noProof/>
                <w:webHidden/>
              </w:rPr>
              <w:t>13</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1" w:history="1">
            <w:r w:rsidR="00C27F90" w:rsidRPr="005C7733">
              <w:rPr>
                <w:rStyle w:val="Hyperlink"/>
                <w:noProof/>
              </w:rPr>
              <w:t>3.4</w:t>
            </w:r>
            <w:r w:rsidR="00C27F90">
              <w:rPr>
                <w:rFonts w:asciiTheme="minorHAnsi" w:hAnsiTheme="minorHAnsi"/>
                <w:noProof/>
                <w:lang w:eastAsia="en-GB"/>
              </w:rPr>
              <w:tab/>
            </w:r>
            <w:r w:rsidR="00C27F90" w:rsidRPr="005C7733">
              <w:rPr>
                <w:rStyle w:val="Hyperlink"/>
                <w:noProof/>
              </w:rPr>
              <w:t>Assessment of the Plan</w:t>
            </w:r>
            <w:r w:rsidR="00C27F90">
              <w:rPr>
                <w:noProof/>
                <w:webHidden/>
              </w:rPr>
              <w:tab/>
            </w:r>
            <w:r w:rsidR="00C27F90">
              <w:rPr>
                <w:noProof/>
                <w:webHidden/>
              </w:rPr>
              <w:fldChar w:fldCharType="begin"/>
            </w:r>
            <w:r w:rsidR="00C27F90">
              <w:rPr>
                <w:noProof/>
                <w:webHidden/>
              </w:rPr>
              <w:instrText xml:space="preserve"> PAGEREF _Toc512501021 \h </w:instrText>
            </w:r>
            <w:r w:rsidR="00C27F90">
              <w:rPr>
                <w:noProof/>
                <w:webHidden/>
              </w:rPr>
            </w:r>
            <w:r w:rsidR="00C27F90">
              <w:rPr>
                <w:noProof/>
                <w:webHidden/>
              </w:rPr>
              <w:fldChar w:fldCharType="separate"/>
            </w:r>
            <w:r w:rsidR="00C27F90">
              <w:rPr>
                <w:noProof/>
                <w:webHidden/>
              </w:rPr>
              <w:t>14</w:t>
            </w:r>
            <w:r w:rsidR="00C27F90">
              <w:rPr>
                <w:noProof/>
                <w:webHidden/>
              </w:rPr>
              <w:fldChar w:fldCharType="end"/>
            </w:r>
          </w:hyperlink>
        </w:p>
        <w:p w:rsidR="00C27F90" w:rsidRDefault="00B13755">
          <w:pPr>
            <w:pStyle w:val="TOC1"/>
            <w:rPr>
              <w:rFonts w:asciiTheme="minorHAnsi" w:hAnsiTheme="minorHAnsi"/>
              <w:noProof/>
              <w:lang w:eastAsia="en-GB"/>
            </w:rPr>
          </w:pPr>
          <w:hyperlink w:anchor="_Toc512501022" w:history="1">
            <w:r w:rsidR="00C27F90" w:rsidRPr="005C7733">
              <w:rPr>
                <w:rStyle w:val="Hyperlink"/>
                <w:rFonts w:asciiTheme="majorHAnsi" w:eastAsiaTheme="majorEastAsia" w:hAnsiTheme="majorHAnsi" w:cstheme="majorBidi"/>
                <w:noProof/>
              </w:rPr>
              <w:t>4.</w:t>
            </w:r>
            <w:r w:rsidR="00C27F90">
              <w:rPr>
                <w:rFonts w:asciiTheme="minorHAnsi" w:hAnsiTheme="minorHAnsi"/>
                <w:noProof/>
                <w:lang w:eastAsia="en-GB"/>
              </w:rPr>
              <w:tab/>
            </w:r>
            <w:r w:rsidR="00C27F90" w:rsidRPr="005C7733">
              <w:rPr>
                <w:rStyle w:val="Hyperlink"/>
                <w:noProof/>
              </w:rPr>
              <w:t>CONFORMITY WITH SOUTH OXFORDSHIRE DEVELOPMENT PLANS</w:t>
            </w:r>
            <w:r w:rsidR="00C27F90">
              <w:rPr>
                <w:noProof/>
                <w:webHidden/>
              </w:rPr>
              <w:tab/>
            </w:r>
            <w:r w:rsidR="00C27F90">
              <w:rPr>
                <w:noProof/>
                <w:webHidden/>
              </w:rPr>
              <w:fldChar w:fldCharType="begin"/>
            </w:r>
            <w:r w:rsidR="00C27F90">
              <w:rPr>
                <w:noProof/>
                <w:webHidden/>
              </w:rPr>
              <w:instrText xml:space="preserve"> PAGEREF _Toc512501022 \h </w:instrText>
            </w:r>
            <w:r w:rsidR="00C27F90">
              <w:rPr>
                <w:noProof/>
                <w:webHidden/>
              </w:rPr>
            </w:r>
            <w:r w:rsidR="00C27F90">
              <w:rPr>
                <w:noProof/>
                <w:webHidden/>
              </w:rPr>
              <w:fldChar w:fldCharType="separate"/>
            </w:r>
            <w:r w:rsidR="00C27F90">
              <w:rPr>
                <w:noProof/>
                <w:webHidden/>
              </w:rPr>
              <w:t>15</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3" w:history="1">
            <w:r w:rsidR="00C27F90" w:rsidRPr="005C7733">
              <w:rPr>
                <w:rStyle w:val="Hyperlink"/>
                <w:noProof/>
              </w:rPr>
              <w:t>4.1</w:t>
            </w:r>
            <w:r w:rsidR="00C27F90">
              <w:rPr>
                <w:rFonts w:asciiTheme="minorHAnsi" w:hAnsiTheme="minorHAnsi"/>
                <w:noProof/>
                <w:lang w:eastAsia="en-GB"/>
              </w:rPr>
              <w:tab/>
            </w:r>
            <w:r w:rsidR="00C27F90" w:rsidRPr="005C7733">
              <w:rPr>
                <w:rStyle w:val="Hyperlink"/>
                <w:noProof/>
              </w:rPr>
              <w:t>Conformity with SODC Core Strategy 2012</w:t>
            </w:r>
            <w:r w:rsidR="00C27F90">
              <w:rPr>
                <w:noProof/>
                <w:webHidden/>
              </w:rPr>
              <w:tab/>
            </w:r>
            <w:r w:rsidR="00C27F90">
              <w:rPr>
                <w:noProof/>
                <w:webHidden/>
              </w:rPr>
              <w:fldChar w:fldCharType="begin"/>
            </w:r>
            <w:r w:rsidR="00C27F90">
              <w:rPr>
                <w:noProof/>
                <w:webHidden/>
              </w:rPr>
              <w:instrText xml:space="preserve"> PAGEREF _Toc512501023 \h </w:instrText>
            </w:r>
            <w:r w:rsidR="00C27F90">
              <w:rPr>
                <w:noProof/>
                <w:webHidden/>
              </w:rPr>
            </w:r>
            <w:r w:rsidR="00C27F90">
              <w:rPr>
                <w:noProof/>
                <w:webHidden/>
              </w:rPr>
              <w:fldChar w:fldCharType="separate"/>
            </w:r>
            <w:r w:rsidR="00C27F90">
              <w:rPr>
                <w:noProof/>
                <w:webHidden/>
              </w:rPr>
              <w:t>15</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4" w:history="1">
            <w:r w:rsidR="00C27F90" w:rsidRPr="005C7733">
              <w:rPr>
                <w:rStyle w:val="Hyperlink"/>
                <w:noProof/>
              </w:rPr>
              <w:t>4.2</w:t>
            </w:r>
            <w:r w:rsidR="00C27F90">
              <w:rPr>
                <w:rFonts w:asciiTheme="minorHAnsi" w:hAnsiTheme="minorHAnsi"/>
                <w:noProof/>
                <w:lang w:eastAsia="en-GB"/>
              </w:rPr>
              <w:tab/>
            </w:r>
            <w:r w:rsidR="00C27F90" w:rsidRPr="005C7733">
              <w:rPr>
                <w:rStyle w:val="Hyperlink"/>
                <w:noProof/>
              </w:rPr>
              <w:t>Conformity with the saved policies in the SODC Local Plan 2011</w:t>
            </w:r>
            <w:r w:rsidR="00C27F90">
              <w:rPr>
                <w:noProof/>
                <w:webHidden/>
              </w:rPr>
              <w:tab/>
            </w:r>
            <w:r w:rsidR="00C27F90">
              <w:rPr>
                <w:noProof/>
                <w:webHidden/>
              </w:rPr>
              <w:fldChar w:fldCharType="begin"/>
            </w:r>
            <w:r w:rsidR="00C27F90">
              <w:rPr>
                <w:noProof/>
                <w:webHidden/>
              </w:rPr>
              <w:instrText xml:space="preserve"> PAGEREF _Toc512501024 \h </w:instrText>
            </w:r>
            <w:r w:rsidR="00C27F90">
              <w:rPr>
                <w:noProof/>
                <w:webHidden/>
              </w:rPr>
            </w:r>
            <w:r w:rsidR="00C27F90">
              <w:rPr>
                <w:noProof/>
                <w:webHidden/>
              </w:rPr>
              <w:fldChar w:fldCharType="separate"/>
            </w:r>
            <w:r w:rsidR="00C27F90">
              <w:rPr>
                <w:noProof/>
                <w:webHidden/>
              </w:rPr>
              <w:t>16</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5" w:history="1">
            <w:r w:rsidR="00C27F90" w:rsidRPr="005C7733">
              <w:rPr>
                <w:rStyle w:val="Hyperlink"/>
                <w:noProof/>
              </w:rPr>
              <w:t>4.3</w:t>
            </w:r>
            <w:r w:rsidR="00C27F90">
              <w:rPr>
                <w:rFonts w:asciiTheme="minorHAnsi" w:hAnsiTheme="minorHAnsi"/>
                <w:noProof/>
                <w:lang w:eastAsia="en-GB"/>
              </w:rPr>
              <w:tab/>
            </w:r>
            <w:r w:rsidR="00C27F90" w:rsidRPr="005C7733">
              <w:rPr>
                <w:rStyle w:val="Hyperlink"/>
                <w:noProof/>
              </w:rPr>
              <w:t>Conformity with the emerging SODC Local Plan 2033</w:t>
            </w:r>
            <w:r w:rsidR="00C27F90">
              <w:rPr>
                <w:noProof/>
                <w:webHidden/>
              </w:rPr>
              <w:tab/>
            </w:r>
            <w:r w:rsidR="00C27F90">
              <w:rPr>
                <w:noProof/>
                <w:webHidden/>
              </w:rPr>
              <w:fldChar w:fldCharType="begin"/>
            </w:r>
            <w:r w:rsidR="00C27F90">
              <w:rPr>
                <w:noProof/>
                <w:webHidden/>
              </w:rPr>
              <w:instrText xml:space="preserve"> PAGEREF _Toc512501025 \h </w:instrText>
            </w:r>
            <w:r w:rsidR="00C27F90">
              <w:rPr>
                <w:noProof/>
                <w:webHidden/>
              </w:rPr>
            </w:r>
            <w:r w:rsidR="00C27F90">
              <w:rPr>
                <w:noProof/>
                <w:webHidden/>
              </w:rPr>
              <w:fldChar w:fldCharType="separate"/>
            </w:r>
            <w:r w:rsidR="00C27F90">
              <w:rPr>
                <w:noProof/>
                <w:webHidden/>
              </w:rPr>
              <w:t>17</w:t>
            </w:r>
            <w:r w:rsidR="00C27F90">
              <w:rPr>
                <w:noProof/>
                <w:webHidden/>
              </w:rPr>
              <w:fldChar w:fldCharType="end"/>
            </w:r>
          </w:hyperlink>
        </w:p>
        <w:p w:rsidR="00C27F90" w:rsidRDefault="00B13755">
          <w:pPr>
            <w:pStyle w:val="TOC1"/>
            <w:rPr>
              <w:rFonts w:asciiTheme="minorHAnsi" w:hAnsiTheme="minorHAnsi"/>
              <w:noProof/>
              <w:lang w:eastAsia="en-GB"/>
            </w:rPr>
          </w:pPr>
          <w:hyperlink w:anchor="_Toc512501026" w:history="1">
            <w:r w:rsidR="00C27F90" w:rsidRPr="005C7733">
              <w:rPr>
                <w:rStyle w:val="Hyperlink"/>
                <w:rFonts w:asciiTheme="majorHAnsi" w:eastAsiaTheme="majorEastAsia" w:hAnsiTheme="majorHAnsi" w:cstheme="majorBidi"/>
                <w:bCs/>
                <w:noProof/>
              </w:rPr>
              <w:t>5.</w:t>
            </w:r>
            <w:r w:rsidR="00C27F90">
              <w:rPr>
                <w:rFonts w:asciiTheme="minorHAnsi" w:hAnsiTheme="minorHAnsi"/>
                <w:noProof/>
                <w:lang w:eastAsia="en-GB"/>
              </w:rPr>
              <w:tab/>
            </w:r>
            <w:r w:rsidR="00C27F90" w:rsidRPr="005C7733">
              <w:rPr>
                <w:rStyle w:val="Hyperlink"/>
                <w:caps/>
                <w:noProof/>
              </w:rPr>
              <w:t>conformity with EU obligations</w:t>
            </w:r>
            <w:r w:rsidR="00C27F90">
              <w:rPr>
                <w:noProof/>
                <w:webHidden/>
              </w:rPr>
              <w:tab/>
            </w:r>
            <w:r w:rsidR="00C27F90">
              <w:rPr>
                <w:noProof/>
                <w:webHidden/>
              </w:rPr>
              <w:fldChar w:fldCharType="begin"/>
            </w:r>
            <w:r w:rsidR="00C27F90">
              <w:rPr>
                <w:noProof/>
                <w:webHidden/>
              </w:rPr>
              <w:instrText xml:space="preserve"> PAGEREF _Toc512501026 \h </w:instrText>
            </w:r>
            <w:r w:rsidR="00C27F90">
              <w:rPr>
                <w:noProof/>
                <w:webHidden/>
              </w:rPr>
            </w:r>
            <w:r w:rsidR="00C27F90">
              <w:rPr>
                <w:noProof/>
                <w:webHidden/>
              </w:rPr>
              <w:fldChar w:fldCharType="separate"/>
            </w:r>
            <w:r w:rsidR="00C27F90">
              <w:rPr>
                <w:noProof/>
                <w:webHidden/>
              </w:rPr>
              <w:t>20</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7" w:history="1">
            <w:r w:rsidR="00C27F90" w:rsidRPr="005C7733">
              <w:rPr>
                <w:rStyle w:val="Hyperlink"/>
                <w:noProof/>
              </w:rPr>
              <w:t>5.1</w:t>
            </w:r>
            <w:r w:rsidR="00C27F90">
              <w:rPr>
                <w:rFonts w:asciiTheme="minorHAnsi" w:hAnsiTheme="minorHAnsi"/>
                <w:noProof/>
                <w:lang w:eastAsia="en-GB"/>
              </w:rPr>
              <w:tab/>
            </w:r>
            <w:r w:rsidR="00C27F90" w:rsidRPr="005C7733">
              <w:rPr>
                <w:rStyle w:val="Hyperlink"/>
                <w:noProof/>
              </w:rPr>
              <w:t>European Convention on Human Rights (ECHR)</w:t>
            </w:r>
            <w:r w:rsidR="00C27F90">
              <w:rPr>
                <w:noProof/>
                <w:webHidden/>
              </w:rPr>
              <w:tab/>
            </w:r>
            <w:r w:rsidR="00C27F90">
              <w:rPr>
                <w:noProof/>
                <w:webHidden/>
              </w:rPr>
              <w:fldChar w:fldCharType="begin"/>
            </w:r>
            <w:r w:rsidR="00C27F90">
              <w:rPr>
                <w:noProof/>
                <w:webHidden/>
              </w:rPr>
              <w:instrText xml:space="preserve"> PAGEREF _Toc512501027 \h </w:instrText>
            </w:r>
            <w:r w:rsidR="00C27F90">
              <w:rPr>
                <w:noProof/>
                <w:webHidden/>
              </w:rPr>
            </w:r>
            <w:r w:rsidR="00C27F90">
              <w:rPr>
                <w:noProof/>
                <w:webHidden/>
              </w:rPr>
              <w:fldChar w:fldCharType="separate"/>
            </w:r>
            <w:r w:rsidR="00C27F90">
              <w:rPr>
                <w:noProof/>
                <w:webHidden/>
              </w:rPr>
              <w:t>20</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8" w:history="1">
            <w:r w:rsidR="00C27F90" w:rsidRPr="005C7733">
              <w:rPr>
                <w:rStyle w:val="Hyperlink"/>
                <w:noProof/>
              </w:rPr>
              <w:t>5.2</w:t>
            </w:r>
            <w:r w:rsidR="00C27F90">
              <w:rPr>
                <w:rFonts w:asciiTheme="minorHAnsi" w:hAnsiTheme="minorHAnsi"/>
                <w:noProof/>
                <w:lang w:eastAsia="en-GB"/>
              </w:rPr>
              <w:tab/>
            </w:r>
            <w:r w:rsidR="00C27F90" w:rsidRPr="005C7733">
              <w:rPr>
                <w:rStyle w:val="Hyperlink"/>
                <w:noProof/>
              </w:rPr>
              <w:t>Strategic Environmental Assessment (SEA)</w:t>
            </w:r>
            <w:r w:rsidR="00C27F90">
              <w:rPr>
                <w:noProof/>
                <w:webHidden/>
              </w:rPr>
              <w:tab/>
            </w:r>
            <w:r w:rsidR="00C27F90">
              <w:rPr>
                <w:noProof/>
                <w:webHidden/>
              </w:rPr>
              <w:fldChar w:fldCharType="begin"/>
            </w:r>
            <w:r w:rsidR="00C27F90">
              <w:rPr>
                <w:noProof/>
                <w:webHidden/>
              </w:rPr>
              <w:instrText xml:space="preserve"> PAGEREF _Toc512501028 \h </w:instrText>
            </w:r>
            <w:r w:rsidR="00C27F90">
              <w:rPr>
                <w:noProof/>
                <w:webHidden/>
              </w:rPr>
            </w:r>
            <w:r w:rsidR="00C27F90">
              <w:rPr>
                <w:noProof/>
                <w:webHidden/>
              </w:rPr>
              <w:fldChar w:fldCharType="separate"/>
            </w:r>
            <w:r w:rsidR="00C27F90">
              <w:rPr>
                <w:noProof/>
                <w:webHidden/>
              </w:rPr>
              <w:t>21</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29" w:history="1">
            <w:r w:rsidR="00C27F90" w:rsidRPr="005C7733">
              <w:rPr>
                <w:rStyle w:val="Hyperlink"/>
                <w:noProof/>
              </w:rPr>
              <w:t>5.3</w:t>
            </w:r>
            <w:r w:rsidR="00C27F90">
              <w:rPr>
                <w:rFonts w:asciiTheme="minorHAnsi" w:hAnsiTheme="minorHAnsi"/>
                <w:noProof/>
                <w:lang w:eastAsia="en-GB"/>
              </w:rPr>
              <w:tab/>
            </w:r>
            <w:r w:rsidR="00C27F90" w:rsidRPr="005C7733">
              <w:rPr>
                <w:rStyle w:val="Hyperlink"/>
                <w:noProof/>
              </w:rPr>
              <w:t>Impact on European Sites: Habitats Regulations Assessment</w:t>
            </w:r>
            <w:r w:rsidR="00C27F90">
              <w:rPr>
                <w:noProof/>
                <w:webHidden/>
              </w:rPr>
              <w:tab/>
            </w:r>
            <w:r w:rsidR="00C27F90">
              <w:rPr>
                <w:noProof/>
                <w:webHidden/>
              </w:rPr>
              <w:fldChar w:fldCharType="begin"/>
            </w:r>
            <w:r w:rsidR="00C27F90">
              <w:rPr>
                <w:noProof/>
                <w:webHidden/>
              </w:rPr>
              <w:instrText xml:space="preserve"> PAGEREF _Toc512501029 \h </w:instrText>
            </w:r>
            <w:r w:rsidR="00C27F90">
              <w:rPr>
                <w:noProof/>
                <w:webHidden/>
              </w:rPr>
            </w:r>
            <w:r w:rsidR="00C27F90">
              <w:rPr>
                <w:noProof/>
                <w:webHidden/>
              </w:rPr>
              <w:fldChar w:fldCharType="separate"/>
            </w:r>
            <w:r w:rsidR="00C27F90">
              <w:rPr>
                <w:noProof/>
                <w:webHidden/>
              </w:rPr>
              <w:t>21</w:t>
            </w:r>
            <w:r w:rsidR="00C27F90">
              <w:rPr>
                <w:noProof/>
                <w:webHidden/>
              </w:rPr>
              <w:fldChar w:fldCharType="end"/>
            </w:r>
          </w:hyperlink>
        </w:p>
        <w:p w:rsidR="00C27F90" w:rsidRDefault="00B13755">
          <w:pPr>
            <w:pStyle w:val="TOC2"/>
            <w:rPr>
              <w:rFonts w:asciiTheme="minorHAnsi" w:hAnsiTheme="minorHAnsi"/>
              <w:noProof/>
              <w:lang w:eastAsia="en-GB"/>
            </w:rPr>
          </w:pPr>
          <w:hyperlink w:anchor="_Toc512501030" w:history="1">
            <w:r w:rsidR="00C27F90" w:rsidRPr="005C7733">
              <w:rPr>
                <w:rStyle w:val="Hyperlink"/>
                <w:noProof/>
              </w:rPr>
              <w:t>5.4</w:t>
            </w:r>
            <w:r w:rsidR="00C27F90">
              <w:rPr>
                <w:rFonts w:asciiTheme="minorHAnsi" w:hAnsiTheme="minorHAnsi"/>
                <w:noProof/>
                <w:lang w:eastAsia="en-GB"/>
              </w:rPr>
              <w:tab/>
            </w:r>
            <w:r w:rsidR="00C27F90" w:rsidRPr="005C7733">
              <w:rPr>
                <w:rStyle w:val="Hyperlink"/>
                <w:noProof/>
              </w:rPr>
              <w:t>Air Quality Directive (2008/50/EC)</w:t>
            </w:r>
            <w:r w:rsidR="00C27F90">
              <w:rPr>
                <w:noProof/>
                <w:webHidden/>
              </w:rPr>
              <w:tab/>
            </w:r>
            <w:r w:rsidR="00C27F90">
              <w:rPr>
                <w:noProof/>
                <w:webHidden/>
              </w:rPr>
              <w:fldChar w:fldCharType="begin"/>
            </w:r>
            <w:r w:rsidR="00C27F90">
              <w:rPr>
                <w:noProof/>
                <w:webHidden/>
              </w:rPr>
              <w:instrText xml:space="preserve"> PAGEREF _Toc512501030 \h </w:instrText>
            </w:r>
            <w:r w:rsidR="00C27F90">
              <w:rPr>
                <w:noProof/>
                <w:webHidden/>
              </w:rPr>
            </w:r>
            <w:r w:rsidR="00C27F90">
              <w:rPr>
                <w:noProof/>
                <w:webHidden/>
              </w:rPr>
              <w:fldChar w:fldCharType="separate"/>
            </w:r>
            <w:r w:rsidR="00C27F90">
              <w:rPr>
                <w:noProof/>
                <w:webHidden/>
              </w:rPr>
              <w:t>23</w:t>
            </w:r>
            <w:r w:rsidR="00C27F90">
              <w:rPr>
                <w:noProof/>
                <w:webHidden/>
              </w:rPr>
              <w:fldChar w:fldCharType="end"/>
            </w:r>
          </w:hyperlink>
        </w:p>
        <w:p w:rsidR="00C27F90" w:rsidRDefault="00B13755">
          <w:pPr>
            <w:pStyle w:val="TOC1"/>
            <w:rPr>
              <w:rFonts w:asciiTheme="minorHAnsi" w:hAnsiTheme="minorHAnsi"/>
              <w:noProof/>
              <w:lang w:eastAsia="en-GB"/>
            </w:rPr>
          </w:pPr>
          <w:hyperlink w:anchor="_Toc512501031" w:history="1">
            <w:r w:rsidR="00C27F90" w:rsidRPr="005C7733">
              <w:rPr>
                <w:rStyle w:val="Hyperlink"/>
                <w:rFonts w:asciiTheme="majorHAnsi" w:eastAsiaTheme="majorEastAsia" w:hAnsiTheme="majorHAnsi" w:cstheme="majorBidi"/>
                <w:noProof/>
              </w:rPr>
              <w:t>6.</w:t>
            </w:r>
            <w:r w:rsidR="00C27F90">
              <w:rPr>
                <w:rFonts w:asciiTheme="minorHAnsi" w:hAnsiTheme="minorHAnsi"/>
                <w:noProof/>
                <w:lang w:eastAsia="en-GB"/>
              </w:rPr>
              <w:tab/>
            </w:r>
            <w:r w:rsidR="00C27F90" w:rsidRPr="005C7733">
              <w:rPr>
                <w:rStyle w:val="Hyperlink"/>
                <w:noProof/>
              </w:rPr>
              <w:t>REGULATION 14 CONSULTATION</w:t>
            </w:r>
            <w:r w:rsidR="00C27F90">
              <w:rPr>
                <w:noProof/>
                <w:webHidden/>
              </w:rPr>
              <w:tab/>
            </w:r>
            <w:r w:rsidR="00C27F90">
              <w:rPr>
                <w:noProof/>
                <w:webHidden/>
              </w:rPr>
              <w:fldChar w:fldCharType="begin"/>
            </w:r>
            <w:r w:rsidR="00C27F90">
              <w:rPr>
                <w:noProof/>
                <w:webHidden/>
              </w:rPr>
              <w:instrText xml:space="preserve"> PAGEREF _Toc512501031 \h </w:instrText>
            </w:r>
            <w:r w:rsidR="00C27F90">
              <w:rPr>
                <w:noProof/>
                <w:webHidden/>
              </w:rPr>
            </w:r>
            <w:r w:rsidR="00C27F90">
              <w:rPr>
                <w:noProof/>
                <w:webHidden/>
              </w:rPr>
              <w:fldChar w:fldCharType="separate"/>
            </w:r>
            <w:r w:rsidR="00C27F90">
              <w:rPr>
                <w:noProof/>
                <w:webHidden/>
              </w:rPr>
              <w:t>24</w:t>
            </w:r>
            <w:r w:rsidR="00C27F90">
              <w:rPr>
                <w:noProof/>
                <w:webHidden/>
              </w:rPr>
              <w:fldChar w:fldCharType="end"/>
            </w:r>
          </w:hyperlink>
        </w:p>
        <w:p w:rsidR="00226F2A" w:rsidRDefault="00226F2A">
          <w:r>
            <w:rPr>
              <w:b/>
              <w:bCs/>
              <w:noProof/>
            </w:rPr>
            <w:fldChar w:fldCharType="end"/>
          </w:r>
        </w:p>
      </w:sdtContent>
    </w:sdt>
    <w:p w:rsidR="003B4425" w:rsidRPr="003F2168" w:rsidRDefault="00022262" w:rsidP="008C3EBC">
      <w:pPr>
        <w:pStyle w:val="TOCHeading"/>
        <w:pageBreakBefore/>
      </w:pPr>
      <w:r w:rsidRPr="003F2168">
        <w:t>Figures</w:t>
      </w:r>
    </w:p>
    <w:p w:rsidR="00C27F90" w:rsidRDefault="00326931">
      <w:pPr>
        <w:pStyle w:val="TableofFigures"/>
        <w:tabs>
          <w:tab w:val="right" w:leader="dot" w:pos="9737"/>
        </w:tabs>
        <w:rPr>
          <w:rFonts w:asciiTheme="minorHAnsi" w:hAnsiTheme="minorHAnsi"/>
          <w:noProof/>
          <w:lang w:eastAsia="en-GB"/>
        </w:rPr>
      </w:pPr>
      <w:r w:rsidRPr="003F2168">
        <w:fldChar w:fldCharType="begin"/>
      </w:r>
      <w:r w:rsidRPr="003F2168">
        <w:instrText xml:space="preserve"> TOC \h \z \c "Figure" </w:instrText>
      </w:r>
      <w:r w:rsidRPr="003F2168">
        <w:fldChar w:fldCharType="separate"/>
      </w:r>
      <w:hyperlink w:anchor="_Toc512501036" w:history="1">
        <w:r w:rsidR="00C27F90" w:rsidRPr="00CD35A6">
          <w:rPr>
            <w:rStyle w:val="Hyperlink"/>
            <w:noProof/>
          </w:rPr>
          <w:t>Figure 1 : Designated WNDP Area 2013</w:t>
        </w:r>
        <w:r w:rsidR="00C27F90">
          <w:rPr>
            <w:noProof/>
            <w:webHidden/>
          </w:rPr>
          <w:tab/>
        </w:r>
        <w:r w:rsidR="00C27F90">
          <w:rPr>
            <w:noProof/>
            <w:webHidden/>
          </w:rPr>
          <w:fldChar w:fldCharType="begin"/>
        </w:r>
        <w:r w:rsidR="00C27F90">
          <w:rPr>
            <w:noProof/>
            <w:webHidden/>
          </w:rPr>
          <w:instrText xml:space="preserve"> PAGEREF _Toc512501036 \h </w:instrText>
        </w:r>
        <w:r w:rsidR="00C27F90">
          <w:rPr>
            <w:noProof/>
            <w:webHidden/>
          </w:rPr>
        </w:r>
        <w:r w:rsidR="00C27F90">
          <w:rPr>
            <w:noProof/>
            <w:webHidden/>
          </w:rPr>
          <w:fldChar w:fldCharType="separate"/>
        </w:r>
        <w:r w:rsidR="00C27F90">
          <w:rPr>
            <w:noProof/>
            <w:webHidden/>
          </w:rPr>
          <w:t>5</w:t>
        </w:r>
        <w:r w:rsidR="00C27F90">
          <w:rPr>
            <w:noProof/>
            <w:webHidden/>
          </w:rPr>
          <w:fldChar w:fldCharType="end"/>
        </w:r>
      </w:hyperlink>
    </w:p>
    <w:p w:rsidR="00C27F90" w:rsidRDefault="00B13755">
      <w:pPr>
        <w:pStyle w:val="TableofFigures"/>
        <w:tabs>
          <w:tab w:val="right" w:leader="dot" w:pos="9737"/>
        </w:tabs>
        <w:rPr>
          <w:rFonts w:asciiTheme="minorHAnsi" w:hAnsiTheme="minorHAnsi"/>
          <w:noProof/>
          <w:lang w:eastAsia="en-GB"/>
        </w:rPr>
      </w:pPr>
      <w:hyperlink w:anchor="_Toc512501037" w:history="1">
        <w:r w:rsidR="00C27F90" w:rsidRPr="00CD35A6">
          <w:rPr>
            <w:rStyle w:val="Hyperlink"/>
            <w:noProof/>
          </w:rPr>
          <w:t>Figure 2 : Designated WNDP Area 2015</w:t>
        </w:r>
        <w:r w:rsidR="00C27F90">
          <w:rPr>
            <w:noProof/>
            <w:webHidden/>
          </w:rPr>
          <w:tab/>
        </w:r>
        <w:r w:rsidR="00C27F90">
          <w:rPr>
            <w:noProof/>
            <w:webHidden/>
          </w:rPr>
          <w:fldChar w:fldCharType="begin"/>
        </w:r>
        <w:r w:rsidR="00C27F90">
          <w:rPr>
            <w:noProof/>
            <w:webHidden/>
          </w:rPr>
          <w:instrText xml:space="preserve"> PAGEREF _Toc512501037 \h </w:instrText>
        </w:r>
        <w:r w:rsidR="00C27F90">
          <w:rPr>
            <w:noProof/>
            <w:webHidden/>
          </w:rPr>
        </w:r>
        <w:r w:rsidR="00C27F90">
          <w:rPr>
            <w:noProof/>
            <w:webHidden/>
          </w:rPr>
          <w:fldChar w:fldCharType="separate"/>
        </w:r>
        <w:r w:rsidR="00C27F90">
          <w:rPr>
            <w:noProof/>
            <w:webHidden/>
          </w:rPr>
          <w:t>6</w:t>
        </w:r>
        <w:r w:rsidR="00C27F90">
          <w:rPr>
            <w:noProof/>
            <w:webHidden/>
          </w:rPr>
          <w:fldChar w:fldCharType="end"/>
        </w:r>
      </w:hyperlink>
    </w:p>
    <w:p w:rsidR="007473C4" w:rsidRDefault="00326931" w:rsidP="007473C4">
      <w:pPr>
        <w:pStyle w:val="TableofFigures"/>
        <w:tabs>
          <w:tab w:val="right" w:leader="dot" w:pos="9737"/>
        </w:tabs>
      </w:pPr>
      <w:r w:rsidRPr="003F2168">
        <w:fldChar w:fldCharType="end"/>
      </w:r>
    </w:p>
    <w:p w:rsidR="0015431D" w:rsidRPr="00357A7A" w:rsidRDefault="0015431D" w:rsidP="0015431D">
      <w:pPr>
        <w:pStyle w:val="TableofFigures"/>
        <w:tabs>
          <w:tab w:val="right" w:leader="dot" w:pos="9737"/>
        </w:tabs>
        <w:rPr>
          <w:b/>
          <w:color w:val="006600"/>
          <w:sz w:val="36"/>
        </w:rPr>
      </w:pPr>
      <w:r w:rsidRPr="00357A7A">
        <w:rPr>
          <w:b/>
          <w:color w:val="006600"/>
          <w:sz w:val="36"/>
        </w:rPr>
        <w:t>Maps</w:t>
      </w:r>
    </w:p>
    <w:p w:rsidR="0015431D" w:rsidRDefault="0015431D" w:rsidP="007473C4">
      <w:pPr>
        <w:pStyle w:val="TableofFigures"/>
        <w:tabs>
          <w:tab w:val="right" w:leader="dot" w:pos="9737"/>
        </w:tabs>
      </w:pPr>
      <w:r>
        <w:t>All maps contain Crown Copyright Data ©, Crown Copyright and Database Right [2012] and have been prepared by Watlington Parish Council under the PSMA agreement 0040083989.  These maps may not be reproduced in any form without explicit approval from Ordnance Survey Limited and Watlington Parish Council.</w:t>
      </w:r>
    </w:p>
    <w:p w:rsidR="0015431D" w:rsidRDefault="0015431D" w:rsidP="007473C4">
      <w:pPr>
        <w:pStyle w:val="TableofFigures"/>
        <w:tabs>
          <w:tab w:val="right" w:leader="dot" w:pos="9737"/>
        </w:tabs>
      </w:pPr>
    </w:p>
    <w:p w:rsidR="007473C4" w:rsidRPr="003A07EC" w:rsidRDefault="007473C4" w:rsidP="007473C4">
      <w:pPr>
        <w:pStyle w:val="TableofFigures"/>
        <w:tabs>
          <w:tab w:val="right" w:leader="dot" w:pos="9737"/>
        </w:tabs>
        <w:rPr>
          <w:b/>
          <w:color w:val="336600"/>
          <w:sz w:val="40"/>
        </w:rPr>
      </w:pPr>
      <w:r w:rsidRPr="003A07EC">
        <w:rPr>
          <w:b/>
          <w:color w:val="336600"/>
          <w:sz w:val="40"/>
        </w:rPr>
        <w:t>Tables</w:t>
      </w:r>
    </w:p>
    <w:p w:rsidR="00C27F90" w:rsidRDefault="007473C4">
      <w:pPr>
        <w:pStyle w:val="TableofFigures"/>
        <w:tabs>
          <w:tab w:val="right" w:leader="dot" w:pos="9737"/>
        </w:tabs>
        <w:rPr>
          <w:rFonts w:asciiTheme="minorHAnsi" w:hAnsiTheme="minorHAnsi"/>
          <w:noProof/>
          <w:lang w:eastAsia="en-GB"/>
        </w:rPr>
      </w:pPr>
      <w:r>
        <w:fldChar w:fldCharType="begin"/>
      </w:r>
      <w:r>
        <w:instrText xml:space="preserve"> TOC \h \z \c "Table" </w:instrText>
      </w:r>
      <w:r>
        <w:fldChar w:fldCharType="separate"/>
      </w:r>
      <w:hyperlink w:anchor="_Toc512501032" w:history="1">
        <w:r w:rsidR="00C27F90" w:rsidRPr="00191E9A">
          <w:rPr>
            <w:rStyle w:val="Hyperlink"/>
            <w:noProof/>
          </w:rPr>
          <w:t>Table 1:</w:t>
        </w:r>
        <w:r w:rsidR="00C27F90" w:rsidRPr="00191E9A">
          <w:rPr>
            <w:rStyle w:val="Hyperlink"/>
            <w:rFonts w:eastAsia="Times New Roman"/>
            <w:noProof/>
          </w:rPr>
          <w:t xml:space="preserve"> Conformity with the National Planning Policy Framework (NPPF) and National Planning Practice Guidance (NPPG)</w:t>
        </w:r>
        <w:r w:rsidR="00C27F90">
          <w:rPr>
            <w:noProof/>
            <w:webHidden/>
          </w:rPr>
          <w:tab/>
        </w:r>
        <w:r w:rsidR="00C27F90">
          <w:rPr>
            <w:noProof/>
            <w:webHidden/>
          </w:rPr>
          <w:fldChar w:fldCharType="begin"/>
        </w:r>
        <w:r w:rsidR="00C27F90">
          <w:rPr>
            <w:noProof/>
            <w:webHidden/>
          </w:rPr>
          <w:instrText xml:space="preserve"> PAGEREF _Toc512501032 \h </w:instrText>
        </w:r>
        <w:r w:rsidR="00C27F90">
          <w:rPr>
            <w:noProof/>
            <w:webHidden/>
          </w:rPr>
        </w:r>
        <w:r w:rsidR="00C27F90">
          <w:rPr>
            <w:noProof/>
            <w:webHidden/>
          </w:rPr>
          <w:fldChar w:fldCharType="separate"/>
        </w:r>
        <w:r w:rsidR="00C27F90">
          <w:rPr>
            <w:noProof/>
            <w:webHidden/>
          </w:rPr>
          <w:t>9</w:t>
        </w:r>
        <w:r w:rsidR="00C27F90">
          <w:rPr>
            <w:noProof/>
            <w:webHidden/>
          </w:rPr>
          <w:fldChar w:fldCharType="end"/>
        </w:r>
      </w:hyperlink>
    </w:p>
    <w:p w:rsidR="00C27F90" w:rsidRDefault="00B13755">
      <w:pPr>
        <w:pStyle w:val="TableofFigures"/>
        <w:tabs>
          <w:tab w:val="right" w:leader="dot" w:pos="9737"/>
        </w:tabs>
        <w:rPr>
          <w:rFonts w:asciiTheme="minorHAnsi" w:hAnsiTheme="minorHAnsi"/>
          <w:noProof/>
          <w:lang w:eastAsia="en-GB"/>
        </w:rPr>
      </w:pPr>
      <w:hyperlink w:anchor="_Toc512501033" w:history="1">
        <w:r w:rsidR="00C27F90" w:rsidRPr="00191E9A">
          <w:rPr>
            <w:rStyle w:val="Hyperlink"/>
            <w:noProof/>
          </w:rPr>
          <w:t>Table 2: Conformity with SODC Core Strategy 2012</w:t>
        </w:r>
        <w:r w:rsidR="00C27F90">
          <w:rPr>
            <w:noProof/>
            <w:webHidden/>
          </w:rPr>
          <w:tab/>
        </w:r>
        <w:r w:rsidR="00C27F90">
          <w:rPr>
            <w:noProof/>
            <w:webHidden/>
          </w:rPr>
          <w:fldChar w:fldCharType="begin"/>
        </w:r>
        <w:r w:rsidR="00C27F90">
          <w:rPr>
            <w:noProof/>
            <w:webHidden/>
          </w:rPr>
          <w:instrText xml:space="preserve"> PAGEREF _Toc512501033 \h </w:instrText>
        </w:r>
        <w:r w:rsidR="00C27F90">
          <w:rPr>
            <w:noProof/>
            <w:webHidden/>
          </w:rPr>
        </w:r>
        <w:r w:rsidR="00C27F90">
          <w:rPr>
            <w:noProof/>
            <w:webHidden/>
          </w:rPr>
          <w:fldChar w:fldCharType="separate"/>
        </w:r>
        <w:r w:rsidR="00C27F90">
          <w:rPr>
            <w:noProof/>
            <w:webHidden/>
          </w:rPr>
          <w:t>15</w:t>
        </w:r>
        <w:r w:rsidR="00C27F90">
          <w:rPr>
            <w:noProof/>
            <w:webHidden/>
          </w:rPr>
          <w:fldChar w:fldCharType="end"/>
        </w:r>
      </w:hyperlink>
    </w:p>
    <w:p w:rsidR="00C27F90" w:rsidRDefault="00B13755">
      <w:pPr>
        <w:pStyle w:val="TableofFigures"/>
        <w:tabs>
          <w:tab w:val="right" w:leader="dot" w:pos="9737"/>
        </w:tabs>
        <w:rPr>
          <w:rFonts w:asciiTheme="minorHAnsi" w:hAnsiTheme="minorHAnsi"/>
          <w:noProof/>
          <w:lang w:eastAsia="en-GB"/>
        </w:rPr>
      </w:pPr>
      <w:hyperlink w:anchor="_Toc512501034" w:history="1">
        <w:r w:rsidR="00C27F90" w:rsidRPr="00191E9A">
          <w:rPr>
            <w:rStyle w:val="Hyperlink"/>
            <w:noProof/>
          </w:rPr>
          <w:t>Table 3:</w:t>
        </w:r>
        <w:r w:rsidR="00C27F90" w:rsidRPr="00191E9A">
          <w:rPr>
            <w:rStyle w:val="Hyperlink"/>
            <w:rFonts w:eastAsia="Times New Roman"/>
            <w:noProof/>
          </w:rPr>
          <w:t xml:space="preserve"> Conformity with the emerging South Oxfordshire Local Plan 2033</w:t>
        </w:r>
        <w:r w:rsidR="00C27F90">
          <w:rPr>
            <w:noProof/>
            <w:webHidden/>
          </w:rPr>
          <w:tab/>
        </w:r>
        <w:r w:rsidR="00C27F90">
          <w:rPr>
            <w:noProof/>
            <w:webHidden/>
          </w:rPr>
          <w:fldChar w:fldCharType="begin"/>
        </w:r>
        <w:r w:rsidR="00C27F90">
          <w:rPr>
            <w:noProof/>
            <w:webHidden/>
          </w:rPr>
          <w:instrText xml:space="preserve"> PAGEREF _Toc512501034 \h </w:instrText>
        </w:r>
        <w:r w:rsidR="00C27F90">
          <w:rPr>
            <w:noProof/>
            <w:webHidden/>
          </w:rPr>
        </w:r>
        <w:r w:rsidR="00C27F90">
          <w:rPr>
            <w:noProof/>
            <w:webHidden/>
          </w:rPr>
          <w:fldChar w:fldCharType="separate"/>
        </w:r>
        <w:r w:rsidR="00C27F90">
          <w:rPr>
            <w:noProof/>
            <w:webHidden/>
          </w:rPr>
          <w:t>17</w:t>
        </w:r>
        <w:r w:rsidR="00C27F90">
          <w:rPr>
            <w:noProof/>
            <w:webHidden/>
          </w:rPr>
          <w:fldChar w:fldCharType="end"/>
        </w:r>
      </w:hyperlink>
    </w:p>
    <w:p w:rsidR="00C27F90" w:rsidRDefault="00B13755">
      <w:pPr>
        <w:pStyle w:val="TableofFigures"/>
        <w:tabs>
          <w:tab w:val="right" w:leader="dot" w:pos="9737"/>
        </w:tabs>
        <w:rPr>
          <w:rFonts w:asciiTheme="minorHAnsi" w:hAnsiTheme="minorHAnsi"/>
          <w:noProof/>
          <w:lang w:eastAsia="en-GB"/>
        </w:rPr>
      </w:pPr>
      <w:hyperlink w:anchor="_Toc512501035" w:history="1">
        <w:r w:rsidR="00C27F90" w:rsidRPr="00191E9A">
          <w:rPr>
            <w:rStyle w:val="Hyperlink"/>
            <w:noProof/>
          </w:rPr>
          <w:t>Table 4: SEA Directive Issues</w:t>
        </w:r>
        <w:r w:rsidR="00C27F90">
          <w:rPr>
            <w:noProof/>
            <w:webHidden/>
          </w:rPr>
          <w:tab/>
        </w:r>
        <w:r w:rsidR="00C27F90">
          <w:rPr>
            <w:noProof/>
            <w:webHidden/>
          </w:rPr>
          <w:fldChar w:fldCharType="begin"/>
        </w:r>
        <w:r w:rsidR="00C27F90">
          <w:rPr>
            <w:noProof/>
            <w:webHidden/>
          </w:rPr>
          <w:instrText xml:space="preserve"> PAGEREF _Toc512501035 \h </w:instrText>
        </w:r>
        <w:r w:rsidR="00C27F90">
          <w:rPr>
            <w:noProof/>
            <w:webHidden/>
          </w:rPr>
        </w:r>
        <w:r w:rsidR="00C27F90">
          <w:rPr>
            <w:noProof/>
            <w:webHidden/>
          </w:rPr>
          <w:fldChar w:fldCharType="separate"/>
        </w:r>
        <w:r w:rsidR="00C27F90">
          <w:rPr>
            <w:noProof/>
            <w:webHidden/>
          </w:rPr>
          <w:t>21</w:t>
        </w:r>
        <w:r w:rsidR="00C27F90">
          <w:rPr>
            <w:noProof/>
            <w:webHidden/>
          </w:rPr>
          <w:fldChar w:fldCharType="end"/>
        </w:r>
      </w:hyperlink>
    </w:p>
    <w:p w:rsidR="00B049B3" w:rsidRDefault="007473C4" w:rsidP="0015431D">
      <w:pPr>
        <w:pStyle w:val="Heading1"/>
      </w:pPr>
      <w:r>
        <w:fldChar w:fldCharType="end"/>
      </w:r>
      <w:bookmarkStart w:id="1" w:name="_Toc512501008"/>
      <w:bookmarkStart w:id="2" w:name="_Toc460148584"/>
      <w:r w:rsidR="0015431D">
        <w:t>I</w:t>
      </w:r>
      <w:r w:rsidR="009B6367">
        <w:t>NTRODUCTION</w:t>
      </w:r>
      <w:r w:rsidR="00F4424F">
        <w:t xml:space="preserve"> AND BASIC CONDITIONS</w:t>
      </w:r>
      <w:bookmarkEnd w:id="1"/>
    </w:p>
    <w:p w:rsidR="00F4424F" w:rsidRDefault="00F4424F" w:rsidP="00F4424F">
      <w:pPr>
        <w:pStyle w:val="Body"/>
        <w:jc w:val="center"/>
        <w:rPr>
          <w:sz w:val="28"/>
          <w:szCs w:val="28"/>
        </w:rPr>
      </w:pPr>
    </w:p>
    <w:p w:rsidR="00F4424F" w:rsidRPr="006F4B18" w:rsidRDefault="00DA266B" w:rsidP="00BB3A25">
      <w:pPr>
        <w:pStyle w:val="Heading2"/>
        <w:rPr>
          <w:rFonts w:cs="Calibri"/>
          <w:bCs/>
          <w:sz w:val="28"/>
          <w:szCs w:val="28"/>
        </w:rPr>
      </w:pPr>
      <w:bookmarkStart w:id="3" w:name="_Toc512501009"/>
      <w:r>
        <w:t>Qualifying Statement</w:t>
      </w:r>
      <w:bookmarkEnd w:id="3"/>
    </w:p>
    <w:p w:rsidR="007738E6" w:rsidRDefault="007738E6" w:rsidP="007738E6">
      <w:r>
        <w:t xml:space="preserve">This Statement has been prepared by Watlington Parish Council, as the qualifying body, to accompany the submission of the Watlington Neighbourhood Development Plan (WNDP) to South Oxfordshire District Council (SODC) under regulation 15 of the Neighbourhood Planning (General) Regulations 2012.  The WNDP has been prepared by the Watlington Neighbourhood Development Plan Forum, a community group established under the auspices of the Parish Council (not the same as a Forum in a parish without a parish council).  The work of the Forum has been overseen by a parish council committee – the Neighbourhood Plan Steering Committee.  </w:t>
      </w:r>
    </w:p>
    <w:p w:rsidR="00F4424F" w:rsidRPr="00D74C89" w:rsidRDefault="007738E6" w:rsidP="003B1845">
      <w:pPr>
        <w:rPr>
          <w:rFonts w:cs="Calibri"/>
          <w:szCs w:val="28"/>
        </w:rPr>
      </w:pPr>
      <w:r>
        <w:t>The WNDP covers the period 2017 to 2033.  The period has been chosen to align with the dates of the emerging South Oxfordshire Local Plan.</w:t>
      </w:r>
      <w:r w:rsidR="00AF3EAE">
        <w:t xml:space="preserve"> </w:t>
      </w:r>
      <w:r w:rsidR="00AF3EAE" w:rsidRPr="00D74C89">
        <w:t>Guidance in the National Planning Practice Guidance (PPG) Neighbourhood Planning has been followed throughout the process of developing the WNDP.</w:t>
      </w:r>
    </w:p>
    <w:p w:rsidR="00DA266B" w:rsidRPr="00DA266B" w:rsidRDefault="00F4424F" w:rsidP="00DA266B">
      <w:pPr>
        <w:pStyle w:val="Heading2"/>
      </w:pPr>
      <w:bookmarkStart w:id="4" w:name="_Toc512501010"/>
      <w:r w:rsidRPr="00DA266B">
        <w:rPr>
          <w:rStyle w:val="Heading2Char"/>
          <w:rFonts w:eastAsia="Arial Unicode MS"/>
          <w:b/>
        </w:rPr>
        <w:t>Designated Neighbourhood Area.</w:t>
      </w:r>
      <w:bookmarkEnd w:id="4"/>
      <w:r w:rsidRPr="00DA266B">
        <w:t xml:space="preserve"> </w:t>
      </w:r>
    </w:p>
    <w:p w:rsidR="00F4424F" w:rsidRDefault="00F4424F" w:rsidP="006F4B18">
      <w:r w:rsidRPr="003B080F">
        <w:t xml:space="preserve">In October 2013 SODC approved all land within the parish boundary as the Designated Area for the WNDP. This followed a year-long discussion between the Parish Council, SODC officers, SODC councillors and the Parish Councils (or Meetings) of Pyrton, Cuxham and Britwell Salome. </w:t>
      </w:r>
    </w:p>
    <w:p w:rsidR="00DA266B" w:rsidRDefault="006F4B18" w:rsidP="006F4B18">
      <w:pPr>
        <w:jc w:val="center"/>
        <w:rPr>
          <w:b/>
        </w:rPr>
      </w:pPr>
      <w:r>
        <w:rPr>
          <w:rFonts w:cs="Calibri"/>
          <w:b/>
          <w:noProof/>
          <w:szCs w:val="28"/>
          <w:lang w:eastAsia="en-GB"/>
        </w:rPr>
        <w:drawing>
          <wp:inline distT="0" distB="0" distL="0" distR="0" wp14:anchorId="2B97B157" wp14:editId="757B1DEF">
            <wp:extent cx="4323870" cy="3972168"/>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 area web.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6405" cy="3992870"/>
                    </a:xfrm>
                    <a:prstGeom prst="rect">
                      <a:avLst/>
                    </a:prstGeom>
                  </pic:spPr>
                </pic:pic>
              </a:graphicData>
            </a:graphic>
          </wp:inline>
        </w:drawing>
      </w:r>
    </w:p>
    <w:p w:rsidR="00F4424F" w:rsidRDefault="00F4424F" w:rsidP="00F4424F">
      <w:pPr>
        <w:pStyle w:val="Body"/>
        <w:rPr>
          <w:rFonts w:ascii="Calibri" w:hAnsi="Calibri" w:cs="Calibri"/>
          <w:b/>
          <w:szCs w:val="28"/>
        </w:rPr>
      </w:pPr>
    </w:p>
    <w:p w:rsidR="00F4424F" w:rsidRDefault="00C1367A" w:rsidP="00C1367A">
      <w:pPr>
        <w:pStyle w:val="Caption"/>
        <w:rPr>
          <w:rFonts w:cs="Calibri"/>
          <w:b w:val="0"/>
          <w:szCs w:val="28"/>
        </w:rPr>
      </w:pPr>
      <w:bookmarkStart w:id="5" w:name="_Toc491768661"/>
      <w:bookmarkStart w:id="6" w:name="_Toc512501036"/>
      <w:r>
        <w:t xml:space="preserve">Figure </w:t>
      </w:r>
      <w:r>
        <w:fldChar w:fldCharType="begin"/>
      </w:r>
      <w:r>
        <w:instrText xml:space="preserve"> SEQ Figure \* ARABIC </w:instrText>
      </w:r>
      <w:r>
        <w:fldChar w:fldCharType="separate"/>
      </w:r>
      <w:r w:rsidR="00651451">
        <w:rPr>
          <w:noProof/>
        </w:rPr>
        <w:t>1</w:t>
      </w:r>
      <w:r>
        <w:fldChar w:fldCharType="end"/>
      </w:r>
      <w:r>
        <w:t xml:space="preserve"> : Designated WNDP Area 2013</w:t>
      </w:r>
      <w:bookmarkEnd w:id="5"/>
      <w:bookmarkEnd w:id="6"/>
    </w:p>
    <w:p w:rsidR="00F4424F" w:rsidRPr="003B080F" w:rsidRDefault="00F4424F" w:rsidP="006F4B18">
      <w:r w:rsidRPr="00DA266B">
        <w:t xml:space="preserve"> In 2015 Watlington Parish Council (WPC)</w:t>
      </w:r>
      <w:r w:rsidRPr="003B080F">
        <w:t xml:space="preserve"> submi</w:t>
      </w:r>
      <w:r w:rsidR="00D74C89">
        <w:t xml:space="preserve">tted a new application for the </w:t>
      </w:r>
      <w:r w:rsidRPr="003B080F">
        <w:t>re</w:t>
      </w:r>
      <w:r w:rsidR="00D74C89">
        <w:t>-</w:t>
      </w:r>
      <w:r w:rsidRPr="003B080F">
        <w:t xml:space="preserve">designation of a Neighbourhood Development Plan area in accordance with Regulation 5 of the Neighbourhood Planning (General) Regulations 2012. The area specified includes the whole parish, as amended by parish boundary changes in April 2015. WPC made the application as a result of the parish boundaries review in order to maintain the conformity of the emerging policies and proposals within </w:t>
      </w:r>
      <w:r w:rsidR="00AF3EAE">
        <w:t xml:space="preserve">the WNDP </w:t>
      </w:r>
      <w:r w:rsidRPr="003B080F">
        <w:t>area indicated.</w:t>
      </w:r>
    </w:p>
    <w:p w:rsidR="00F4424F" w:rsidRPr="003B080F" w:rsidRDefault="00AF3EAE" w:rsidP="006F4B18">
      <w:r>
        <w:t>The p</w:t>
      </w:r>
      <w:r w:rsidR="00F4424F" w:rsidRPr="00DA266B">
        <w:t xml:space="preserve">arish of Watlington </w:t>
      </w:r>
      <w:r w:rsidR="00F4424F" w:rsidRPr="003B080F">
        <w:t xml:space="preserve">was formally </w:t>
      </w:r>
      <w:r w:rsidR="00A04E84">
        <w:t>re-</w:t>
      </w:r>
      <w:r w:rsidR="00F4424F" w:rsidRPr="003B080F">
        <w:t xml:space="preserve">designated as a Neighbourhood Area </w:t>
      </w:r>
      <w:r w:rsidR="00A04E84">
        <w:t xml:space="preserve">and approved by SODC </w:t>
      </w:r>
      <w:r w:rsidR="00F4424F" w:rsidRPr="003B080F">
        <w:t>on 15 October 2015.</w:t>
      </w:r>
    </w:p>
    <w:p w:rsidR="00F4424F" w:rsidRPr="003B080F" w:rsidRDefault="00F4424F" w:rsidP="006F4B18">
      <w:r w:rsidRPr="00DA266B">
        <w:t>The WNDP designated area</w:t>
      </w:r>
      <w:r w:rsidRPr="003B080F">
        <w:t xml:space="preserve"> includes the settlement of Watlington itself, and the three outlying settlements of Christmas Common, Greenfield, H</w:t>
      </w:r>
      <w:r w:rsidR="000C0E13">
        <w:t>owe Hill, and parts of Northend</w:t>
      </w:r>
      <w:r w:rsidRPr="003B080F">
        <w:t xml:space="preserve"> and Pishill. The outlying settlements contain about 15% of the Neighbourhood Area population.</w:t>
      </w:r>
      <w:r>
        <w:t xml:space="preserve"> </w:t>
      </w:r>
      <w:r w:rsidR="00D74C89">
        <w:t>Where relevant</w:t>
      </w:r>
      <w:r w:rsidRPr="003B080F">
        <w:t>, policies in WNDP relate to these settlements.</w:t>
      </w:r>
    </w:p>
    <w:p w:rsidR="00F4424F" w:rsidRPr="003B080F" w:rsidRDefault="00F4424F" w:rsidP="00F4424F">
      <w:pPr>
        <w:pStyle w:val="Body"/>
        <w:rPr>
          <w:rFonts w:ascii="Calibri" w:hAnsi="Calibri" w:cs="Calibri"/>
          <w:szCs w:val="28"/>
        </w:rPr>
      </w:pPr>
    </w:p>
    <w:p w:rsidR="00F4424F" w:rsidRDefault="00F4424F" w:rsidP="00F4424F">
      <w:pPr>
        <w:pStyle w:val="Body"/>
        <w:rPr>
          <w:rFonts w:ascii="Calibri" w:hAnsi="Calibri" w:cs="Calibri"/>
          <w:b/>
          <w:noProof/>
          <w:sz w:val="18"/>
          <w:lang w:val="en-GB"/>
        </w:rPr>
      </w:pPr>
    </w:p>
    <w:p w:rsidR="00FF6357" w:rsidRDefault="00FF6357" w:rsidP="00FF6357">
      <w:pPr>
        <w:pStyle w:val="Body"/>
        <w:jc w:val="center"/>
        <w:rPr>
          <w:rFonts w:ascii="Calibri" w:hAnsi="Calibri" w:cs="Calibri"/>
          <w:b/>
          <w:noProof/>
          <w:sz w:val="18"/>
          <w:lang w:val="en-GB"/>
        </w:rPr>
      </w:pPr>
      <w:r>
        <w:rPr>
          <w:rFonts w:ascii="Calibri" w:hAnsi="Calibri" w:cs="Calibri"/>
          <w:b/>
          <w:noProof/>
          <w:sz w:val="18"/>
          <w:lang w:val="en-GB"/>
        </w:rPr>
        <w:drawing>
          <wp:inline distT="0" distB="0" distL="0" distR="0" wp14:anchorId="0F385708" wp14:editId="7F6F9576">
            <wp:extent cx="4118610" cy="4042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1275" cy="4044678"/>
                    </a:xfrm>
                    <a:prstGeom prst="rect">
                      <a:avLst/>
                    </a:prstGeom>
                    <a:noFill/>
                  </pic:spPr>
                </pic:pic>
              </a:graphicData>
            </a:graphic>
          </wp:inline>
        </w:drawing>
      </w:r>
    </w:p>
    <w:p w:rsidR="00FF6357" w:rsidRDefault="00FF6357" w:rsidP="00F4424F">
      <w:pPr>
        <w:pStyle w:val="Body"/>
        <w:rPr>
          <w:rFonts w:ascii="Calibri" w:hAnsi="Calibri" w:cs="Calibri"/>
          <w:b/>
          <w:noProof/>
          <w:sz w:val="18"/>
          <w:lang w:val="en-GB"/>
        </w:rPr>
      </w:pPr>
    </w:p>
    <w:p w:rsidR="00FF6357" w:rsidRDefault="00FF6357" w:rsidP="00F4424F">
      <w:pPr>
        <w:pStyle w:val="Body"/>
        <w:rPr>
          <w:rFonts w:ascii="Calibri" w:hAnsi="Calibri" w:cs="Calibri"/>
          <w:b/>
          <w:noProof/>
          <w:sz w:val="18"/>
          <w:lang w:val="en-GB"/>
        </w:rPr>
      </w:pPr>
    </w:p>
    <w:p w:rsidR="00FF6357" w:rsidRDefault="00FF6357" w:rsidP="00F4424F">
      <w:pPr>
        <w:pStyle w:val="Body"/>
        <w:rPr>
          <w:rFonts w:ascii="Calibri" w:hAnsi="Calibri" w:cs="Calibri"/>
          <w:b/>
          <w:noProof/>
          <w:sz w:val="18"/>
          <w:lang w:val="en-GB"/>
        </w:rPr>
      </w:pPr>
    </w:p>
    <w:p w:rsidR="00FF6357" w:rsidRDefault="00FF6357" w:rsidP="00F4424F">
      <w:pPr>
        <w:pStyle w:val="Body"/>
        <w:rPr>
          <w:rFonts w:ascii="Calibri" w:hAnsi="Calibri" w:cs="Calibri"/>
          <w:b/>
          <w:noProof/>
          <w:sz w:val="18"/>
          <w:lang w:val="en-GB"/>
        </w:rPr>
      </w:pPr>
    </w:p>
    <w:p w:rsidR="00FF6357" w:rsidRDefault="00FF6357" w:rsidP="00F4424F">
      <w:pPr>
        <w:pStyle w:val="Body"/>
        <w:rPr>
          <w:rFonts w:ascii="Calibri" w:hAnsi="Calibri" w:cs="Calibri"/>
          <w:b/>
          <w:noProof/>
          <w:sz w:val="18"/>
          <w:lang w:val="en-GB"/>
        </w:rPr>
      </w:pPr>
    </w:p>
    <w:p w:rsidR="00F4424F" w:rsidRDefault="00C1367A" w:rsidP="00C1367A">
      <w:pPr>
        <w:pStyle w:val="Caption"/>
        <w:rPr>
          <w:rFonts w:cs="Calibri"/>
          <w:szCs w:val="28"/>
        </w:rPr>
      </w:pPr>
      <w:bookmarkStart w:id="7" w:name="_Toc491768662"/>
      <w:bookmarkStart w:id="8" w:name="_Toc512501037"/>
      <w:r>
        <w:t xml:space="preserve">Figure </w:t>
      </w:r>
      <w:r>
        <w:fldChar w:fldCharType="begin"/>
      </w:r>
      <w:r>
        <w:instrText xml:space="preserve"> SEQ Figure \* ARABIC </w:instrText>
      </w:r>
      <w:r>
        <w:fldChar w:fldCharType="separate"/>
      </w:r>
      <w:r w:rsidR="00651451">
        <w:rPr>
          <w:noProof/>
        </w:rPr>
        <w:t>2</w:t>
      </w:r>
      <w:r>
        <w:fldChar w:fldCharType="end"/>
      </w:r>
      <w:r>
        <w:t xml:space="preserve"> :</w:t>
      </w:r>
      <w:r w:rsidR="0048578E">
        <w:t xml:space="preserve"> Designated WNDP Area 201</w:t>
      </w:r>
      <w:r>
        <w:t>5</w:t>
      </w:r>
      <w:bookmarkEnd w:id="7"/>
      <w:bookmarkEnd w:id="8"/>
    </w:p>
    <w:p w:rsidR="00C1367A" w:rsidRDefault="00C1367A" w:rsidP="00F4424F">
      <w:pPr>
        <w:pStyle w:val="Body"/>
        <w:rPr>
          <w:rFonts w:ascii="Calibri" w:hAnsi="Calibri" w:cs="Calibri"/>
          <w:szCs w:val="28"/>
        </w:rPr>
      </w:pPr>
    </w:p>
    <w:p w:rsidR="00A72212" w:rsidRDefault="00A72212" w:rsidP="00F4424F">
      <w:pPr>
        <w:pStyle w:val="Body"/>
        <w:rPr>
          <w:rFonts w:ascii="Calibri" w:hAnsi="Calibri" w:cs="Calibri"/>
          <w:szCs w:val="28"/>
        </w:rPr>
      </w:pPr>
    </w:p>
    <w:p w:rsidR="00A72212" w:rsidRDefault="00A72212" w:rsidP="00F4424F">
      <w:pPr>
        <w:pStyle w:val="Body"/>
        <w:rPr>
          <w:rFonts w:ascii="Calibri" w:hAnsi="Calibri" w:cs="Calibri"/>
          <w:szCs w:val="28"/>
        </w:rPr>
      </w:pPr>
    </w:p>
    <w:p w:rsidR="00A72212" w:rsidRDefault="00A72212" w:rsidP="00F4424F">
      <w:pPr>
        <w:pStyle w:val="Body"/>
        <w:rPr>
          <w:rFonts w:ascii="Calibri" w:hAnsi="Calibri" w:cs="Calibri"/>
          <w:szCs w:val="28"/>
        </w:rPr>
      </w:pPr>
    </w:p>
    <w:p w:rsidR="00DA266B" w:rsidRPr="00DA266B" w:rsidRDefault="00DA266B" w:rsidP="00DA266B">
      <w:pPr>
        <w:pStyle w:val="Body"/>
        <w:rPr>
          <w:rFonts w:ascii="Calibri" w:hAnsi="Calibri" w:cs="Calibri"/>
          <w:b/>
          <w:smallCaps/>
          <w:color w:val="FF0000"/>
          <w:sz w:val="24"/>
          <w:szCs w:val="28"/>
        </w:rPr>
      </w:pPr>
    </w:p>
    <w:p w:rsidR="00DA266B" w:rsidRPr="006A3566" w:rsidRDefault="00DA266B" w:rsidP="00DA266B">
      <w:pPr>
        <w:pStyle w:val="Heading2"/>
      </w:pPr>
      <w:bookmarkStart w:id="9" w:name="_Toc512501011"/>
      <w:r>
        <w:t>Why Watlington needs a Neighbourhood Development Plan</w:t>
      </w:r>
      <w:bookmarkEnd w:id="9"/>
    </w:p>
    <w:p w:rsidR="00993EB2" w:rsidRDefault="00DA266B" w:rsidP="006F4B18">
      <w:pPr>
        <w:rPr>
          <w:rFonts w:cs="Calibri"/>
          <w:szCs w:val="28"/>
        </w:rPr>
      </w:pPr>
      <w:r w:rsidRPr="008C3CA2">
        <w:t>A Neighbourhood Development Plan gives</w:t>
      </w:r>
      <w:r w:rsidRPr="00DA266B">
        <w:t xml:space="preserve"> residents of Watlington Parish a way of influencing planning decisions which will be needed to steer anticipated growth in the number of homes locally. It can help to develop a shared vision for the town of Watlington, select the sites most suitable for development, define preferences for the mix of housing types, and give protection to the most important amenity and environmental features of the area. </w:t>
      </w:r>
      <w:r w:rsidR="00C4390F" w:rsidRPr="00D74C89">
        <w:t xml:space="preserve">It meets the NPPF core principle (paragraph 17) of empowering local people to shape their surroundings. </w:t>
      </w:r>
      <w:r w:rsidRPr="00D74C89">
        <w:t xml:space="preserve">Because </w:t>
      </w:r>
      <w:r w:rsidRPr="00DA266B">
        <w:t xml:space="preserve">the Local Planning Authority must have regard for a legally approved Neighbourhood Development Plan, the future of Watlington can, to a considerable extent, be shaped by the wishes of the community. In addition, the </w:t>
      </w:r>
      <w:r w:rsidR="00AF3EAE">
        <w:t xml:space="preserve">emerging </w:t>
      </w:r>
      <w:r w:rsidR="0026318A">
        <w:t>SODC</w:t>
      </w:r>
      <w:r w:rsidRPr="00DA266B">
        <w:t xml:space="preserve"> Local Plan </w:t>
      </w:r>
      <w:r w:rsidR="00AF3EAE">
        <w:t xml:space="preserve">2033 </w:t>
      </w:r>
      <w:r w:rsidRPr="00DA266B">
        <w:t>articulates a District Council wish for new housing sites to be identified primarily through Neighbourhood Plans.</w:t>
      </w:r>
    </w:p>
    <w:p w:rsidR="00DA266B" w:rsidRDefault="00993EB2" w:rsidP="00DA266B">
      <w:pPr>
        <w:pStyle w:val="Heading2"/>
      </w:pPr>
      <w:r w:rsidRPr="00993EB2">
        <w:rPr>
          <w:rStyle w:val="Heading2Char"/>
          <w:rFonts w:eastAsiaTheme="minorEastAsia"/>
        </w:rPr>
        <w:t xml:space="preserve"> </w:t>
      </w:r>
      <w:bookmarkStart w:id="10" w:name="_Toc512501012"/>
      <w:r w:rsidRPr="00DA266B">
        <w:rPr>
          <w:rFonts w:eastAsiaTheme="minorEastAsia"/>
        </w:rPr>
        <w:t>Planned growth of Watlington</w:t>
      </w:r>
      <w:bookmarkEnd w:id="10"/>
      <w:r>
        <w:t xml:space="preserve">  </w:t>
      </w:r>
    </w:p>
    <w:p w:rsidR="0015431D" w:rsidRDefault="00993EB2" w:rsidP="00993EB2">
      <w:r>
        <w:t>The WNDP makes provision for the growth of Watlington by allocating 3 sites for development to accommodate a minimum of 238 new homes.  In addition, provision is made for other identified sites to come forward for specific housing purposes during the period of the Plan.  The minimum of 238 new homes is in accordance with provision in the emerging SODC Local Plan</w:t>
      </w:r>
      <w:r w:rsidR="0026318A">
        <w:t xml:space="preserve"> </w:t>
      </w:r>
      <w:r w:rsidR="0026318A" w:rsidRPr="00D74C89">
        <w:t>2033</w:t>
      </w:r>
      <w:r w:rsidR="00BB3A25" w:rsidRPr="00D74C89">
        <w:t xml:space="preserve"> and contribute to the objectively assessed needs of the district</w:t>
      </w:r>
      <w:r w:rsidRPr="00D74C89">
        <w:t xml:space="preserve">.  This number is equivalent to an increase in housing </w:t>
      </w:r>
      <w:r>
        <w:t xml:space="preserve">stock of 15% allocated to each of the larger villages in the District (including Watlington) and takes account of planning approvals </w:t>
      </w:r>
      <w:r w:rsidR="00A04E84">
        <w:t>granted between 2011 and 2017</w:t>
      </w:r>
      <w:r>
        <w:t>.</w:t>
      </w:r>
      <w:r w:rsidR="0015431D" w:rsidRPr="0015431D">
        <w:t xml:space="preserve"> </w:t>
      </w:r>
    </w:p>
    <w:p w:rsidR="00993EB2" w:rsidRPr="00D74C89" w:rsidRDefault="0015431D" w:rsidP="00993EB2">
      <w:r w:rsidRPr="00D74C89">
        <w:t>The WNDP includes proposals for development which are in line with NPPF16. The development plans support the strategic policies for housing and economic development set out in the emerging SODC L</w:t>
      </w:r>
      <w:r w:rsidR="00BB3A25" w:rsidRPr="00D74C89">
        <w:t>ocal Plan 2033 and also include</w:t>
      </w:r>
      <w:r w:rsidRPr="00D74C89">
        <w:t xml:space="preserve"> policie</w:t>
      </w:r>
      <w:r w:rsidR="00BB3A25" w:rsidRPr="00D74C89">
        <w:t>s for local development which are</w:t>
      </w:r>
      <w:r w:rsidRPr="00D74C89">
        <w:t xml:space="preserve"> outside the strategic elements of the Local Plan. </w:t>
      </w:r>
      <w:r w:rsidR="00993EB2" w:rsidRPr="00D74C89">
        <w:t xml:space="preserve"> </w:t>
      </w:r>
    </w:p>
    <w:p w:rsidR="00DA266B" w:rsidRDefault="00993EB2" w:rsidP="00BB3A25">
      <w:pPr>
        <w:pStyle w:val="Heading2"/>
      </w:pPr>
      <w:bookmarkStart w:id="11" w:name="_Toc512501013"/>
      <w:r w:rsidRPr="00DA266B">
        <w:rPr>
          <w:rFonts w:eastAsiaTheme="minorEastAsia"/>
        </w:rPr>
        <w:t>Basic Conditions</w:t>
      </w:r>
      <w:bookmarkEnd w:id="11"/>
    </w:p>
    <w:p w:rsidR="00993EB2" w:rsidRDefault="00993EB2" w:rsidP="00993EB2">
      <w:pPr>
        <w:pStyle w:val="NoSpacing"/>
      </w:pPr>
      <w:r w:rsidRPr="00EE46B5">
        <w:t>This</w:t>
      </w:r>
      <w:r>
        <w:t xml:space="preserve"> Statement addresses the basic conditions set out in paragraph 8 (2) of Schedule 4B to the Town and Country Planning act 1990 as applied to neighbourhood plans by section 38A of the Planning and Compulsory Purchase Act 2004.</w:t>
      </w:r>
    </w:p>
    <w:p w:rsidR="00BC14E1" w:rsidRPr="0047290B" w:rsidRDefault="00BC14E1" w:rsidP="00993EB2">
      <w:pPr>
        <w:pStyle w:val="NoSpacing"/>
        <w:rPr>
          <w:b/>
        </w:rPr>
      </w:pPr>
    </w:p>
    <w:p w:rsidR="00993EB2" w:rsidRDefault="00993EB2" w:rsidP="00993EB2">
      <w:r>
        <w:t>The basic conditions are:</w:t>
      </w:r>
    </w:p>
    <w:p w:rsidR="00993EB2" w:rsidRDefault="00993EB2" w:rsidP="006D293C">
      <w:pPr>
        <w:pStyle w:val="ListParagraph"/>
        <w:numPr>
          <w:ilvl w:val="0"/>
          <w:numId w:val="14"/>
        </w:numPr>
      </w:pPr>
      <w:r>
        <w:t>Having regard to national policies and advice contained in guidance issued by the Secretary of State it is appropriate to make the Neighbourhood Development Plan.</w:t>
      </w:r>
    </w:p>
    <w:p w:rsidR="00993EB2" w:rsidRDefault="00993EB2" w:rsidP="006D293C">
      <w:pPr>
        <w:pStyle w:val="ListParagraph"/>
        <w:numPr>
          <w:ilvl w:val="0"/>
          <w:numId w:val="14"/>
        </w:numPr>
      </w:pPr>
      <w:r>
        <w:t>The making of the Neighbourhood Development Plan contributes to the achievement of sustainable development.</w:t>
      </w:r>
    </w:p>
    <w:p w:rsidR="00993EB2" w:rsidRDefault="00993EB2" w:rsidP="006D293C">
      <w:pPr>
        <w:pStyle w:val="ListParagraph"/>
        <w:numPr>
          <w:ilvl w:val="0"/>
          <w:numId w:val="14"/>
        </w:numPr>
      </w:pPr>
      <w:r>
        <w:t>The making of the Neighbourhood Development Plan is in general conformity with the strategic policies contained in the development plan for the area of the authority (or any part of that area).</w:t>
      </w:r>
    </w:p>
    <w:p w:rsidR="00993EB2" w:rsidRDefault="00993EB2" w:rsidP="006D293C">
      <w:pPr>
        <w:pStyle w:val="ListParagraph"/>
        <w:numPr>
          <w:ilvl w:val="0"/>
          <w:numId w:val="14"/>
        </w:numPr>
      </w:pPr>
      <w:r>
        <w:t xml:space="preserve">The making of the Neighbourhood Development Plan does not breach, and is otherwise compatible with, EU obligations. </w:t>
      </w:r>
    </w:p>
    <w:p w:rsidR="00993EB2" w:rsidRDefault="00993EB2" w:rsidP="00F4424F">
      <w:pPr>
        <w:pStyle w:val="Body"/>
        <w:rPr>
          <w:rFonts w:ascii="Calibri" w:hAnsi="Calibri" w:cs="Calibri"/>
          <w:szCs w:val="28"/>
        </w:rPr>
      </w:pPr>
    </w:p>
    <w:p w:rsidR="00F4424F" w:rsidRDefault="00F4424F" w:rsidP="00F4424F">
      <w:pPr>
        <w:pStyle w:val="Body"/>
        <w:rPr>
          <w:rFonts w:ascii="Calibri" w:hAnsi="Calibri" w:cs="Calibri"/>
          <w:szCs w:val="28"/>
        </w:rPr>
      </w:pPr>
    </w:p>
    <w:p w:rsidR="00F4424F" w:rsidRDefault="00F4424F" w:rsidP="00F4424F">
      <w:pPr>
        <w:pStyle w:val="Body"/>
        <w:rPr>
          <w:rFonts w:ascii="Calibri" w:hAnsi="Calibri" w:cs="Calibri"/>
          <w:szCs w:val="28"/>
        </w:rPr>
      </w:pPr>
    </w:p>
    <w:p w:rsidR="00F4424F" w:rsidRPr="003B080F" w:rsidRDefault="00F4424F" w:rsidP="00F4424F">
      <w:pPr>
        <w:pStyle w:val="Body"/>
        <w:rPr>
          <w:rFonts w:ascii="Calibri" w:hAnsi="Calibri" w:cs="Calibri"/>
          <w:szCs w:val="28"/>
        </w:rPr>
      </w:pPr>
    </w:p>
    <w:p w:rsidR="00F4424F" w:rsidRPr="003B080F" w:rsidRDefault="00BB3A25" w:rsidP="003B6747">
      <w:pPr>
        <w:pStyle w:val="Heading1"/>
      </w:pPr>
      <w:bookmarkStart w:id="12" w:name="_Toc512501014"/>
      <w:r>
        <w:t>C</w:t>
      </w:r>
      <w:r w:rsidR="00F4424F" w:rsidRPr="003B080F">
        <w:t>O</w:t>
      </w:r>
      <w:r w:rsidR="006A3566">
        <w:t xml:space="preserve">NFORMITY WITH </w:t>
      </w:r>
      <w:r w:rsidR="00F4424F" w:rsidRPr="003B080F">
        <w:t>NATIONAL POLICIES AND GUIDANCE</w:t>
      </w:r>
      <w:bookmarkEnd w:id="12"/>
    </w:p>
    <w:p w:rsidR="00F4424F" w:rsidRPr="003B080F" w:rsidRDefault="00F4424F" w:rsidP="00F4424F">
      <w:pPr>
        <w:pStyle w:val="Body"/>
        <w:rPr>
          <w:rFonts w:ascii="Calibri" w:hAnsi="Calibri" w:cs="Calibri"/>
          <w:sz w:val="28"/>
          <w:szCs w:val="28"/>
        </w:rPr>
      </w:pPr>
    </w:p>
    <w:p w:rsidR="006A3566" w:rsidRPr="006A3566" w:rsidRDefault="00F4424F" w:rsidP="006A3566">
      <w:pPr>
        <w:pStyle w:val="Heading2"/>
        <w:rPr>
          <w:rStyle w:val="Heading2Char"/>
          <w:rFonts w:eastAsia="Arial Unicode MS"/>
          <w:b/>
        </w:rPr>
      </w:pPr>
      <w:bookmarkStart w:id="13" w:name="_Toc512501015"/>
      <w:r w:rsidRPr="006A3566">
        <w:rPr>
          <w:rStyle w:val="Heading2Char"/>
          <w:b/>
        </w:rPr>
        <w:t>Nationa</w:t>
      </w:r>
      <w:r w:rsidR="006A3566" w:rsidRPr="006A3566">
        <w:rPr>
          <w:rStyle w:val="Heading2Char"/>
          <w:rFonts w:eastAsia="Arial Unicode MS"/>
          <w:b/>
        </w:rPr>
        <w:t>l Planning Policy Framework</w:t>
      </w:r>
      <w:r w:rsidRPr="006A3566">
        <w:rPr>
          <w:rStyle w:val="Heading2Char"/>
          <w:b/>
        </w:rPr>
        <w:t xml:space="preserve"> (NPPF)</w:t>
      </w:r>
      <w:r w:rsidR="006A3566" w:rsidRPr="006A3566">
        <w:rPr>
          <w:rStyle w:val="Heading2Char"/>
          <w:rFonts w:eastAsia="Arial Unicode MS"/>
          <w:b/>
        </w:rPr>
        <w:t>.</w:t>
      </w:r>
      <w:bookmarkEnd w:id="13"/>
      <w:r w:rsidR="006A3566" w:rsidRPr="006A3566">
        <w:rPr>
          <w:rStyle w:val="Heading2Char"/>
          <w:rFonts w:eastAsia="Arial Unicode MS"/>
          <w:b/>
        </w:rPr>
        <w:t xml:space="preserve"> </w:t>
      </w:r>
    </w:p>
    <w:p w:rsidR="00DA266B" w:rsidRDefault="006A3566" w:rsidP="00F4424F">
      <w:pPr>
        <w:pStyle w:val="Body"/>
        <w:rPr>
          <w:rFonts w:ascii="Calibri" w:hAnsi="Calibri" w:cs="Calibri"/>
        </w:rPr>
      </w:pPr>
      <w:r>
        <w:rPr>
          <w:rFonts w:ascii="Calibri" w:hAnsi="Calibri" w:cs="Calibri"/>
        </w:rPr>
        <w:t xml:space="preserve">All relevant policies </w:t>
      </w:r>
      <w:r w:rsidR="00BC14E1">
        <w:rPr>
          <w:rFonts w:ascii="Calibri" w:hAnsi="Calibri" w:cs="Calibri"/>
        </w:rPr>
        <w:t xml:space="preserve">on plan-making </w:t>
      </w:r>
      <w:r>
        <w:rPr>
          <w:rFonts w:ascii="Calibri" w:hAnsi="Calibri" w:cs="Calibri"/>
        </w:rPr>
        <w:t>have been considered and those which have specifically informed the WNDP</w:t>
      </w:r>
      <w:r w:rsidR="00DA266B">
        <w:rPr>
          <w:rFonts w:ascii="Calibri" w:hAnsi="Calibri" w:cs="Calibri"/>
        </w:rPr>
        <w:t xml:space="preserve"> </w:t>
      </w:r>
      <w:r>
        <w:rPr>
          <w:rFonts w:ascii="Calibri" w:hAnsi="Calibri" w:cs="Calibri"/>
        </w:rPr>
        <w:t>are included in Table 1.</w:t>
      </w:r>
    </w:p>
    <w:p w:rsidR="00DA266B" w:rsidRPr="003B080F" w:rsidRDefault="00DA266B" w:rsidP="00F4424F">
      <w:pPr>
        <w:pStyle w:val="Body"/>
        <w:rPr>
          <w:rFonts w:ascii="Calibri" w:hAnsi="Calibri" w:cs="Calibri"/>
        </w:rPr>
      </w:pPr>
    </w:p>
    <w:p w:rsidR="006A3566" w:rsidRDefault="006A3566" w:rsidP="006A3566">
      <w:pPr>
        <w:pStyle w:val="Heading2"/>
      </w:pPr>
      <w:bookmarkStart w:id="14" w:name="_Toc512501016"/>
      <w:r w:rsidRPr="007846E6">
        <w:t>National Planning Practice Guidance</w:t>
      </w:r>
      <w:r w:rsidR="00BC14E1">
        <w:t xml:space="preserve"> (PPG)</w:t>
      </w:r>
      <w:r w:rsidRPr="007846E6">
        <w:t>:</w:t>
      </w:r>
      <w:bookmarkEnd w:id="14"/>
      <w:r>
        <w:t xml:space="preserve">  </w:t>
      </w:r>
    </w:p>
    <w:p w:rsidR="006A3566" w:rsidRDefault="006A3566" w:rsidP="006A3566">
      <w:r>
        <w:t xml:space="preserve"> The areas of guidance which have been particularly relevant to the WNDP, in addition to the guidance on Neighbourhood Planning are:</w:t>
      </w:r>
    </w:p>
    <w:p w:rsidR="006A3566" w:rsidRDefault="006A3566" w:rsidP="006D293C">
      <w:pPr>
        <w:pStyle w:val="NoSpacing"/>
        <w:numPr>
          <w:ilvl w:val="0"/>
          <w:numId w:val="15"/>
        </w:numPr>
      </w:pPr>
      <w:r>
        <w:t>Air quality  (WNDP Policy P2 )</w:t>
      </w:r>
    </w:p>
    <w:p w:rsidR="006A3566" w:rsidRDefault="006A3566" w:rsidP="006D293C">
      <w:pPr>
        <w:pStyle w:val="NoSpacing"/>
        <w:numPr>
          <w:ilvl w:val="0"/>
          <w:numId w:val="15"/>
        </w:numPr>
      </w:pPr>
      <w:r>
        <w:t>Conserving and enhancing the historic environment  (WNDP Policy P1 )</w:t>
      </w:r>
    </w:p>
    <w:p w:rsidR="006A3566" w:rsidRDefault="006A3566" w:rsidP="006D293C">
      <w:pPr>
        <w:pStyle w:val="NoSpacing"/>
        <w:numPr>
          <w:ilvl w:val="0"/>
          <w:numId w:val="15"/>
        </w:numPr>
      </w:pPr>
      <w:r>
        <w:t>Design  (WNDP Policy P1)</w:t>
      </w:r>
    </w:p>
    <w:p w:rsidR="006A3566" w:rsidRDefault="006A3566" w:rsidP="006D293C">
      <w:pPr>
        <w:pStyle w:val="NoSpacing"/>
        <w:numPr>
          <w:ilvl w:val="0"/>
          <w:numId w:val="15"/>
        </w:numPr>
      </w:pPr>
      <w:r>
        <w:t>Ensuring the vitality of town centres  (WNDP Policy P6 )</w:t>
      </w:r>
    </w:p>
    <w:p w:rsidR="006A3566" w:rsidRDefault="006A3566" w:rsidP="006D293C">
      <w:pPr>
        <w:pStyle w:val="NoSpacing"/>
        <w:numPr>
          <w:ilvl w:val="0"/>
          <w:numId w:val="15"/>
        </w:numPr>
      </w:pPr>
      <w:r>
        <w:t>Flood risk (and coastal change)  (WNDP Policy P3 )</w:t>
      </w:r>
    </w:p>
    <w:p w:rsidR="006A3566" w:rsidRDefault="006A3566" w:rsidP="006D293C">
      <w:pPr>
        <w:pStyle w:val="NoSpacing"/>
        <w:numPr>
          <w:ilvl w:val="0"/>
          <w:numId w:val="15"/>
        </w:numPr>
      </w:pPr>
      <w:r>
        <w:t>Health and wellbeing  (WNDP Policy P2, P4, P5, P8 )</w:t>
      </w:r>
    </w:p>
    <w:p w:rsidR="006A3566" w:rsidRDefault="006A3566" w:rsidP="006D293C">
      <w:pPr>
        <w:pStyle w:val="NoSpacing"/>
        <w:numPr>
          <w:ilvl w:val="0"/>
          <w:numId w:val="15"/>
        </w:numPr>
      </w:pPr>
      <w:r>
        <w:t xml:space="preserve">Light pollution  </w:t>
      </w:r>
      <w:r w:rsidR="00BB3A25">
        <w:t>(</w:t>
      </w:r>
      <w:r>
        <w:t>WNDP Policy P3 )</w:t>
      </w:r>
    </w:p>
    <w:p w:rsidR="006A3566" w:rsidRDefault="006A3566" w:rsidP="006D293C">
      <w:pPr>
        <w:pStyle w:val="NoSpacing"/>
        <w:numPr>
          <w:ilvl w:val="0"/>
          <w:numId w:val="15"/>
        </w:numPr>
      </w:pPr>
      <w:r>
        <w:t>Natural environment  (WNDP Policy P3 )</w:t>
      </w:r>
    </w:p>
    <w:p w:rsidR="006A3566" w:rsidRDefault="006A3566" w:rsidP="006D293C">
      <w:pPr>
        <w:pStyle w:val="NoSpacing"/>
        <w:numPr>
          <w:ilvl w:val="0"/>
          <w:numId w:val="15"/>
        </w:numPr>
      </w:pPr>
      <w:r>
        <w:t>Open space, sports and recreation facilities, public rights of way and local gree</w:t>
      </w:r>
      <w:r w:rsidR="00A72212">
        <w:t>n space  (WNDP Policy P4, P5, P8</w:t>
      </w:r>
      <w:r>
        <w:t>, P9 )</w:t>
      </w:r>
    </w:p>
    <w:p w:rsidR="006A3566" w:rsidRDefault="006A3566" w:rsidP="006D293C">
      <w:pPr>
        <w:pStyle w:val="NoSpacing"/>
        <w:numPr>
          <w:ilvl w:val="0"/>
          <w:numId w:val="15"/>
        </w:numPr>
      </w:pPr>
      <w:r>
        <w:t>Rural housing  (WNDP Policy P5 )</w:t>
      </w:r>
    </w:p>
    <w:p w:rsidR="006A3566" w:rsidRDefault="006A3566" w:rsidP="006D293C">
      <w:pPr>
        <w:pStyle w:val="NoSpacing"/>
        <w:numPr>
          <w:ilvl w:val="0"/>
          <w:numId w:val="15"/>
        </w:numPr>
      </w:pPr>
      <w:r>
        <w:t>Self-build and custom housebuilding (WNDP Policy P5)</w:t>
      </w: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7738E6" w:rsidRDefault="007738E6" w:rsidP="007738E6">
      <w:pPr>
        <w:pStyle w:val="NoSpacing"/>
      </w:pPr>
    </w:p>
    <w:p w:rsidR="00F4424F" w:rsidRDefault="00F4424F" w:rsidP="00F4424F">
      <w:pPr>
        <w:pStyle w:val="Body"/>
        <w:rPr>
          <w:rFonts w:ascii="Calibri" w:hAnsi="Calibri" w:cs="Calibri"/>
        </w:rPr>
      </w:pPr>
    </w:p>
    <w:p w:rsidR="007738E6" w:rsidRPr="00226F2A" w:rsidRDefault="00226F2A" w:rsidP="007473C4">
      <w:pPr>
        <w:pStyle w:val="TableHeadings"/>
        <w:rPr>
          <w:rFonts w:eastAsia="Times New Roman"/>
        </w:rPr>
      </w:pPr>
      <w:bookmarkStart w:id="15" w:name="_Toc512501032"/>
      <w:r>
        <w:t xml:space="preserve">Table </w:t>
      </w:r>
      <w:r>
        <w:fldChar w:fldCharType="begin"/>
      </w:r>
      <w:r>
        <w:instrText xml:space="preserve"> SEQ Table \* ARABIC </w:instrText>
      </w:r>
      <w:r>
        <w:fldChar w:fldCharType="separate"/>
      </w:r>
      <w:r w:rsidR="00651451">
        <w:rPr>
          <w:noProof/>
        </w:rPr>
        <w:t>1</w:t>
      </w:r>
      <w:r>
        <w:fldChar w:fldCharType="end"/>
      </w:r>
      <w:r>
        <w:t>:</w:t>
      </w:r>
      <w:r w:rsidR="007738E6" w:rsidRPr="007738E6">
        <w:rPr>
          <w:rFonts w:eastAsia="Times New Roman"/>
        </w:rPr>
        <w:t xml:space="preserve"> </w:t>
      </w:r>
      <w:r w:rsidR="007738E6" w:rsidRPr="00226F2A">
        <w:rPr>
          <w:rFonts w:eastAsia="Times New Roman"/>
        </w:rPr>
        <w:t>Conformity with the National Planning Policy Framework (NPPF) and National Planning Practice Guidance (NPPG)</w:t>
      </w:r>
      <w:bookmarkEnd w:id="15"/>
    </w:p>
    <w:p w:rsidR="007738E6" w:rsidRDefault="007738E6" w:rsidP="00F4424F">
      <w:pPr>
        <w:pStyle w:val="Body"/>
        <w:rPr>
          <w:rFonts w:ascii="Calibri" w:hAnsi="Calibri" w:cs="Calibri"/>
        </w:rPr>
      </w:pPr>
    </w:p>
    <w:p w:rsidR="007738E6" w:rsidRDefault="007738E6" w:rsidP="00F4424F">
      <w:pPr>
        <w:pStyle w:val="Body"/>
        <w:rPr>
          <w:rFonts w:ascii="Calibri" w:hAnsi="Calibri" w:cs="Calibri"/>
        </w:rPr>
      </w:pPr>
    </w:p>
    <w:tbl>
      <w:tblPr>
        <w:tblStyle w:val="TableGrid"/>
        <w:tblW w:w="0" w:type="auto"/>
        <w:tblLook w:val="04A0" w:firstRow="1" w:lastRow="0" w:firstColumn="1" w:lastColumn="0" w:noHBand="0" w:noVBand="1"/>
      </w:tblPr>
      <w:tblGrid>
        <w:gridCol w:w="1137"/>
        <w:gridCol w:w="2126"/>
        <w:gridCol w:w="1374"/>
        <w:gridCol w:w="4147"/>
      </w:tblGrid>
      <w:tr w:rsidR="00753A16" w:rsidRPr="00753A16" w:rsidTr="00694D2F">
        <w:tc>
          <w:tcPr>
            <w:tcW w:w="1137" w:type="dxa"/>
            <w:shd w:val="clear" w:color="auto" w:fill="336600"/>
          </w:tcPr>
          <w:p w:rsidR="007738E6" w:rsidRPr="00753A16" w:rsidRDefault="007738E6" w:rsidP="00834793">
            <w:pPr>
              <w:rPr>
                <w:b/>
                <w:color w:val="FFFFFF" w:themeColor="background1"/>
              </w:rPr>
            </w:pPr>
            <w:r w:rsidRPr="00753A16">
              <w:rPr>
                <w:b/>
                <w:color w:val="FFFFFF" w:themeColor="background1"/>
              </w:rPr>
              <w:t>WNDP Policy number</w:t>
            </w:r>
          </w:p>
          <w:p w:rsidR="007738E6" w:rsidRPr="00753A16" w:rsidRDefault="007738E6" w:rsidP="00834793">
            <w:pPr>
              <w:rPr>
                <w:b/>
                <w:color w:val="FFFFFF" w:themeColor="background1"/>
              </w:rPr>
            </w:pPr>
          </w:p>
        </w:tc>
        <w:tc>
          <w:tcPr>
            <w:tcW w:w="2126" w:type="dxa"/>
            <w:shd w:val="clear" w:color="auto" w:fill="336600"/>
          </w:tcPr>
          <w:p w:rsidR="007738E6" w:rsidRPr="00753A16" w:rsidRDefault="007738E6" w:rsidP="00834793">
            <w:pPr>
              <w:rPr>
                <w:b/>
                <w:color w:val="FFFFFF" w:themeColor="background1"/>
              </w:rPr>
            </w:pPr>
            <w:r w:rsidRPr="00753A16">
              <w:rPr>
                <w:b/>
                <w:color w:val="FFFFFF" w:themeColor="background1"/>
              </w:rPr>
              <w:t>Policy</w:t>
            </w:r>
          </w:p>
        </w:tc>
        <w:tc>
          <w:tcPr>
            <w:tcW w:w="1374" w:type="dxa"/>
            <w:shd w:val="clear" w:color="auto" w:fill="336600"/>
          </w:tcPr>
          <w:p w:rsidR="007738E6" w:rsidRPr="00753A16" w:rsidRDefault="007738E6" w:rsidP="00834793">
            <w:pPr>
              <w:rPr>
                <w:b/>
                <w:color w:val="FFFFFF" w:themeColor="background1"/>
              </w:rPr>
            </w:pPr>
            <w:r w:rsidRPr="00753A16">
              <w:rPr>
                <w:b/>
                <w:color w:val="FFFFFF" w:themeColor="background1"/>
              </w:rPr>
              <w:t xml:space="preserve">NPPF Paragraph numbers and NPPG references          </w:t>
            </w:r>
          </w:p>
        </w:tc>
        <w:tc>
          <w:tcPr>
            <w:tcW w:w="4147" w:type="dxa"/>
            <w:shd w:val="clear" w:color="auto" w:fill="336600"/>
          </w:tcPr>
          <w:p w:rsidR="007738E6" w:rsidRPr="00753A16" w:rsidRDefault="007738E6" w:rsidP="00834793">
            <w:pPr>
              <w:rPr>
                <w:b/>
                <w:color w:val="FFFFFF" w:themeColor="background1"/>
              </w:rPr>
            </w:pPr>
            <w:r w:rsidRPr="00753A16">
              <w:rPr>
                <w:b/>
                <w:color w:val="FFFFFF" w:themeColor="background1"/>
              </w:rPr>
              <w:t>Commentary</w:t>
            </w:r>
          </w:p>
        </w:tc>
      </w:tr>
      <w:tr w:rsidR="007738E6" w:rsidTr="00694D2F">
        <w:tc>
          <w:tcPr>
            <w:tcW w:w="1137" w:type="dxa"/>
          </w:tcPr>
          <w:p w:rsidR="007738E6" w:rsidRDefault="007738E6" w:rsidP="00834793">
            <w:r>
              <w:t>P1</w:t>
            </w:r>
          </w:p>
        </w:tc>
        <w:tc>
          <w:tcPr>
            <w:tcW w:w="2126" w:type="dxa"/>
          </w:tcPr>
          <w:p w:rsidR="007738E6" w:rsidRDefault="007738E6" w:rsidP="00834793">
            <w:r>
              <w:t>Protect and enhance the character of Watlington and the historic setting of the town.</w:t>
            </w:r>
          </w:p>
          <w:p w:rsidR="007738E6" w:rsidRDefault="007738E6" w:rsidP="00834793"/>
        </w:tc>
        <w:tc>
          <w:tcPr>
            <w:tcW w:w="1374" w:type="dxa"/>
          </w:tcPr>
          <w:p w:rsidR="007738E6" w:rsidRDefault="007738E6" w:rsidP="00834793">
            <w:r>
              <w:t xml:space="preserve">126, 56, 57, 58, 60, 61  also NPPG Conserving and enhancing the historic environment and Design                 </w:t>
            </w:r>
          </w:p>
        </w:tc>
        <w:tc>
          <w:tcPr>
            <w:tcW w:w="4147" w:type="dxa"/>
          </w:tcPr>
          <w:p w:rsidR="007738E6" w:rsidRDefault="007738E6" w:rsidP="00834793">
            <w:r>
              <w:t>This policy accords with NPPF policies for good design and conserving and enhancing the historic environment. It seeks to ensure that development makes a positive contribution to the historic character of Watlington and to the designated Conservation Area and other heritage assets.  It also plans positively for high standards of design which reflect local distinctiveness.</w:t>
            </w:r>
          </w:p>
        </w:tc>
      </w:tr>
      <w:tr w:rsidR="007738E6" w:rsidTr="00694D2F">
        <w:tc>
          <w:tcPr>
            <w:tcW w:w="1137" w:type="dxa"/>
          </w:tcPr>
          <w:p w:rsidR="007738E6" w:rsidRDefault="007738E6" w:rsidP="00834793">
            <w:r>
              <w:t>P2</w:t>
            </w:r>
          </w:p>
        </w:tc>
        <w:tc>
          <w:tcPr>
            <w:tcW w:w="2126" w:type="dxa"/>
          </w:tcPr>
          <w:p w:rsidR="007738E6" w:rsidRDefault="007738E6" w:rsidP="00834793">
            <w:r>
              <w:t xml:space="preserve">Transport, including measures to address air pollution in the town centre </w:t>
            </w:r>
          </w:p>
        </w:tc>
        <w:tc>
          <w:tcPr>
            <w:tcW w:w="1374" w:type="dxa"/>
          </w:tcPr>
          <w:p w:rsidR="007738E6" w:rsidRDefault="007738E6" w:rsidP="00834793">
            <w:r>
              <w:t xml:space="preserve">126, 23,28,29, 30, 31, 40,  124,  also NPPG Air Quality, Health and Wellbeing, </w:t>
            </w:r>
          </w:p>
        </w:tc>
        <w:tc>
          <w:tcPr>
            <w:tcW w:w="4147" w:type="dxa"/>
          </w:tcPr>
          <w:p w:rsidR="007738E6" w:rsidRDefault="007738E6" w:rsidP="00834793">
            <w:r>
              <w:t xml:space="preserve">This policy accords with NPPF policies for ensuring the vitality of town centres, supporting a prosperous rural economy, promoting sustainable transport and conserving and enhancing natural and historic environments. It addresses the need to reduce congestion in the town centre in order to improve air quality in the designated Air Quality Management Area and reduce the adverse impact of traffic on historic buildings.  It proposes to safeguard land for new highway infrastructure in order to support sustainable development. Planned improvements to the town centre as a result of the proposed changes are intended to contribute to the vitality of the town centre and facilitate growth in the local economy.  Additional provision for town centre parking is also proposed to meet this objective. </w:t>
            </w:r>
          </w:p>
          <w:p w:rsidR="00694D2F" w:rsidRDefault="00694D2F" w:rsidP="00834793"/>
          <w:p w:rsidR="00694D2F" w:rsidRDefault="00694D2F" w:rsidP="00834793"/>
          <w:p w:rsidR="00694D2F" w:rsidRDefault="00694D2F" w:rsidP="00834793"/>
          <w:p w:rsidR="00694D2F" w:rsidRDefault="00694D2F" w:rsidP="00834793"/>
          <w:p w:rsidR="00694D2F" w:rsidRDefault="00694D2F" w:rsidP="00834793"/>
          <w:p w:rsidR="00694D2F" w:rsidRDefault="00694D2F" w:rsidP="00834793"/>
          <w:p w:rsidR="00694D2F" w:rsidRDefault="00694D2F" w:rsidP="00834793"/>
          <w:p w:rsidR="00694D2F" w:rsidRDefault="00694D2F" w:rsidP="00834793"/>
          <w:p w:rsidR="00694D2F" w:rsidRDefault="00694D2F" w:rsidP="00834793"/>
          <w:p w:rsidR="00694D2F" w:rsidRDefault="00694D2F" w:rsidP="00834793"/>
        </w:tc>
      </w:tr>
      <w:tr w:rsidR="00694D2F" w:rsidRPr="00753A16" w:rsidTr="00694D2F">
        <w:tc>
          <w:tcPr>
            <w:tcW w:w="1137" w:type="dxa"/>
            <w:shd w:val="clear" w:color="auto" w:fill="336600"/>
          </w:tcPr>
          <w:p w:rsidR="00694D2F" w:rsidRPr="00753A16" w:rsidRDefault="00694D2F" w:rsidP="00D0021D">
            <w:pPr>
              <w:rPr>
                <w:b/>
                <w:color w:val="FFFFFF" w:themeColor="background1"/>
              </w:rPr>
            </w:pPr>
            <w:r w:rsidRPr="00753A16">
              <w:rPr>
                <w:b/>
                <w:color w:val="FFFFFF" w:themeColor="background1"/>
              </w:rPr>
              <w:t>WNDP Policy number</w:t>
            </w:r>
          </w:p>
          <w:p w:rsidR="00694D2F" w:rsidRPr="00753A16" w:rsidRDefault="00694D2F" w:rsidP="00D0021D">
            <w:pPr>
              <w:rPr>
                <w:b/>
                <w:color w:val="FFFFFF" w:themeColor="background1"/>
              </w:rPr>
            </w:pPr>
          </w:p>
        </w:tc>
        <w:tc>
          <w:tcPr>
            <w:tcW w:w="2126" w:type="dxa"/>
            <w:shd w:val="clear" w:color="auto" w:fill="336600"/>
          </w:tcPr>
          <w:p w:rsidR="00694D2F" w:rsidRPr="00753A16" w:rsidRDefault="00694D2F" w:rsidP="00D0021D">
            <w:pPr>
              <w:rPr>
                <w:b/>
                <w:color w:val="FFFFFF" w:themeColor="background1"/>
              </w:rPr>
            </w:pPr>
            <w:r w:rsidRPr="00753A16">
              <w:rPr>
                <w:b/>
                <w:color w:val="FFFFFF" w:themeColor="background1"/>
              </w:rPr>
              <w:t>Policy</w:t>
            </w:r>
          </w:p>
        </w:tc>
        <w:tc>
          <w:tcPr>
            <w:tcW w:w="1374" w:type="dxa"/>
            <w:shd w:val="clear" w:color="auto" w:fill="336600"/>
          </w:tcPr>
          <w:p w:rsidR="00694D2F" w:rsidRPr="00753A16" w:rsidRDefault="00694D2F" w:rsidP="00D0021D">
            <w:pPr>
              <w:rPr>
                <w:b/>
                <w:color w:val="FFFFFF" w:themeColor="background1"/>
              </w:rPr>
            </w:pPr>
            <w:r w:rsidRPr="00753A16">
              <w:rPr>
                <w:b/>
                <w:color w:val="FFFFFF" w:themeColor="background1"/>
              </w:rPr>
              <w:t xml:space="preserve">NPPF Paragraph numbers and NPPG references          </w:t>
            </w:r>
          </w:p>
        </w:tc>
        <w:tc>
          <w:tcPr>
            <w:tcW w:w="4147" w:type="dxa"/>
            <w:shd w:val="clear" w:color="auto" w:fill="336600"/>
          </w:tcPr>
          <w:p w:rsidR="00694D2F" w:rsidRPr="00753A16" w:rsidRDefault="00694D2F" w:rsidP="00D0021D">
            <w:pPr>
              <w:rPr>
                <w:b/>
                <w:color w:val="FFFFFF" w:themeColor="background1"/>
              </w:rPr>
            </w:pPr>
            <w:r w:rsidRPr="00753A16">
              <w:rPr>
                <w:b/>
                <w:color w:val="FFFFFF" w:themeColor="background1"/>
              </w:rPr>
              <w:t>Commentary</w:t>
            </w:r>
          </w:p>
        </w:tc>
      </w:tr>
      <w:tr w:rsidR="007738E6" w:rsidTr="00694D2F">
        <w:tc>
          <w:tcPr>
            <w:tcW w:w="1137" w:type="dxa"/>
          </w:tcPr>
          <w:p w:rsidR="007738E6" w:rsidRDefault="007738E6" w:rsidP="00834793">
            <w:r>
              <w:t>P3</w:t>
            </w:r>
          </w:p>
        </w:tc>
        <w:tc>
          <w:tcPr>
            <w:tcW w:w="2126" w:type="dxa"/>
          </w:tcPr>
          <w:p w:rsidR="007738E6" w:rsidRDefault="007738E6" w:rsidP="00834793">
            <w:r>
              <w:t>Conserve and enhance the natural environment</w:t>
            </w:r>
          </w:p>
        </w:tc>
        <w:tc>
          <w:tcPr>
            <w:tcW w:w="1374" w:type="dxa"/>
          </w:tcPr>
          <w:p w:rsidR="007738E6" w:rsidRDefault="007738E6" w:rsidP="00834793">
            <w:r>
              <w:t xml:space="preserve">100, </w:t>
            </w:r>
            <w:r w:rsidR="00BB3A25">
              <w:t>103,</w:t>
            </w:r>
            <w:r>
              <w:t>109, 110,</w:t>
            </w:r>
            <w:r w:rsidR="00BB3A25">
              <w:t xml:space="preserve"> 113</w:t>
            </w:r>
            <w:r>
              <w:t xml:space="preserve"> 114, 115, 118, 125 also NPPG Natural environment and Flood risk and Light pollution </w:t>
            </w:r>
          </w:p>
        </w:tc>
        <w:tc>
          <w:tcPr>
            <w:tcW w:w="4147" w:type="dxa"/>
          </w:tcPr>
          <w:p w:rsidR="007738E6" w:rsidRDefault="007738E6" w:rsidP="00834793">
            <w:r>
              <w:t xml:space="preserve">This policy accords with NPPF policies for flooding and conserving and enhancing the natural environment. The policy aims to protect local chalk streams and manage natural flows in order to reduce the risk of flooding.  </w:t>
            </w:r>
            <w:r w:rsidR="00D74C89">
              <w:t>In line with NPPF 100 and footnote 20 Sequential Tests and Site Specific Flood Risk Assessments have been carried out</w:t>
            </w:r>
            <w:r w:rsidR="00930168">
              <w:t xml:space="preserve"> (WNDP 14)</w:t>
            </w:r>
            <w:r w:rsidR="00D74C89">
              <w:t xml:space="preserve">. </w:t>
            </w:r>
            <w:r>
              <w:t xml:space="preserve">Watlington is in a very sensitive location on the boundary of the Chilterns AONB at the foot of the Chilterns escarpment and this policy aims to ensure that views of and from the AONB are protected. In addition it aims to protect and enhance biodiversity and limit impact on wildlife by reducing light pollution.  </w:t>
            </w:r>
          </w:p>
        </w:tc>
      </w:tr>
      <w:tr w:rsidR="007738E6" w:rsidTr="00694D2F">
        <w:tc>
          <w:tcPr>
            <w:tcW w:w="1137" w:type="dxa"/>
          </w:tcPr>
          <w:p w:rsidR="007738E6" w:rsidRDefault="007738E6" w:rsidP="00834793">
            <w:r>
              <w:t>P4</w:t>
            </w:r>
          </w:p>
        </w:tc>
        <w:tc>
          <w:tcPr>
            <w:tcW w:w="2126" w:type="dxa"/>
          </w:tcPr>
          <w:p w:rsidR="007738E6" w:rsidRDefault="007738E6" w:rsidP="00834793">
            <w:r>
              <w:t>Green Spaces</w:t>
            </w:r>
          </w:p>
        </w:tc>
        <w:tc>
          <w:tcPr>
            <w:tcW w:w="1374" w:type="dxa"/>
          </w:tcPr>
          <w:p w:rsidR="007738E6" w:rsidRDefault="007738E6" w:rsidP="00834793">
            <w:r>
              <w:t>70, 73, 74, 75, 76, 77 also NPPG Open space, sports and recreation facilities, public rights of way and local green space and Health and wellbeing.</w:t>
            </w:r>
          </w:p>
        </w:tc>
        <w:tc>
          <w:tcPr>
            <w:tcW w:w="4147" w:type="dxa"/>
          </w:tcPr>
          <w:p w:rsidR="007738E6" w:rsidRDefault="007738E6" w:rsidP="00834793">
            <w:r>
              <w:t xml:space="preserve">This policy accords with NPPF policies for promoting healthy communities. It seeks to designate areas as Local Green Spaces which provide a significant local amenity and/or have biodiversity value in order to contribute to the health and wellbeing of residents.  It also seeks to ensure that provision is made on developments of 10 or more new houses for green spaces for amenity areas and recreation.  </w:t>
            </w:r>
          </w:p>
        </w:tc>
      </w:tr>
      <w:tr w:rsidR="007738E6" w:rsidTr="00694D2F">
        <w:tc>
          <w:tcPr>
            <w:tcW w:w="1137" w:type="dxa"/>
          </w:tcPr>
          <w:p w:rsidR="007738E6" w:rsidRDefault="007738E6" w:rsidP="00834793">
            <w:r>
              <w:t>P5</w:t>
            </w:r>
          </w:p>
        </w:tc>
        <w:tc>
          <w:tcPr>
            <w:tcW w:w="2126" w:type="dxa"/>
          </w:tcPr>
          <w:p w:rsidR="007738E6" w:rsidRDefault="007738E6" w:rsidP="00834793">
            <w:r>
              <w:t>New housing development</w:t>
            </w:r>
          </w:p>
        </w:tc>
        <w:tc>
          <w:tcPr>
            <w:tcW w:w="1374" w:type="dxa"/>
          </w:tcPr>
          <w:p w:rsidR="007738E6" w:rsidRDefault="007738E6" w:rsidP="00834793">
            <w:r>
              <w:t xml:space="preserve">47, 50, 55, 69, 70, 93, </w:t>
            </w:r>
            <w:r w:rsidR="00BB3A25">
              <w:t>95,</w:t>
            </w:r>
            <w:r w:rsidR="00D74C89">
              <w:t xml:space="preserve"> </w:t>
            </w:r>
            <w:r>
              <w:t>97 also NPPG Rural housing, Self-build, Health and wellbeing and Open space.</w:t>
            </w:r>
          </w:p>
        </w:tc>
        <w:tc>
          <w:tcPr>
            <w:tcW w:w="4147" w:type="dxa"/>
          </w:tcPr>
          <w:p w:rsidR="00694D2F" w:rsidRDefault="007738E6" w:rsidP="00694D2F">
            <w:r>
              <w:t xml:space="preserve">This policy accords with NPPF policies for delivering a wide choice of high quality homes, promoting healthy communities and meeting the challenge of climate change.  The policy aims to boost the supply of homes and enhance the vitality of the community by meeting the identified need for affordable homes and providing a good mix of housing types.  The policy provides for an integrated approach to housing, shops, local services and facilities via safe and accessible routes for pedestrians and cyclists.  It also encourages measures which provide resilience to the effects of climate change through reductions in the use of resources and the use of energy generation schemes.  </w:t>
            </w:r>
          </w:p>
        </w:tc>
      </w:tr>
      <w:tr w:rsidR="00694D2F" w:rsidRPr="00753A16" w:rsidTr="00694D2F">
        <w:tc>
          <w:tcPr>
            <w:tcW w:w="1137" w:type="dxa"/>
            <w:shd w:val="clear" w:color="auto" w:fill="336600"/>
          </w:tcPr>
          <w:p w:rsidR="00694D2F" w:rsidRPr="00753A16" w:rsidRDefault="00694D2F" w:rsidP="00D0021D">
            <w:pPr>
              <w:rPr>
                <w:b/>
                <w:color w:val="FFFFFF" w:themeColor="background1"/>
              </w:rPr>
            </w:pPr>
            <w:r w:rsidRPr="00753A16">
              <w:rPr>
                <w:b/>
                <w:color w:val="FFFFFF" w:themeColor="background1"/>
              </w:rPr>
              <w:t>WNDP Policy number</w:t>
            </w:r>
          </w:p>
          <w:p w:rsidR="00694D2F" w:rsidRPr="00753A16" w:rsidRDefault="00694D2F" w:rsidP="00D0021D">
            <w:pPr>
              <w:rPr>
                <w:b/>
                <w:color w:val="FFFFFF" w:themeColor="background1"/>
              </w:rPr>
            </w:pPr>
          </w:p>
        </w:tc>
        <w:tc>
          <w:tcPr>
            <w:tcW w:w="2126" w:type="dxa"/>
            <w:shd w:val="clear" w:color="auto" w:fill="336600"/>
          </w:tcPr>
          <w:p w:rsidR="00694D2F" w:rsidRPr="00753A16" w:rsidRDefault="00694D2F" w:rsidP="00D0021D">
            <w:pPr>
              <w:rPr>
                <w:b/>
                <w:color w:val="FFFFFF" w:themeColor="background1"/>
              </w:rPr>
            </w:pPr>
            <w:r w:rsidRPr="00753A16">
              <w:rPr>
                <w:b/>
                <w:color w:val="FFFFFF" w:themeColor="background1"/>
              </w:rPr>
              <w:t>Policy</w:t>
            </w:r>
          </w:p>
        </w:tc>
        <w:tc>
          <w:tcPr>
            <w:tcW w:w="1374" w:type="dxa"/>
            <w:shd w:val="clear" w:color="auto" w:fill="336600"/>
          </w:tcPr>
          <w:p w:rsidR="00694D2F" w:rsidRPr="00753A16" w:rsidRDefault="00694D2F" w:rsidP="00D0021D">
            <w:pPr>
              <w:rPr>
                <w:b/>
                <w:color w:val="FFFFFF" w:themeColor="background1"/>
              </w:rPr>
            </w:pPr>
            <w:r w:rsidRPr="00753A16">
              <w:rPr>
                <w:b/>
                <w:color w:val="FFFFFF" w:themeColor="background1"/>
              </w:rPr>
              <w:t xml:space="preserve">NPPF Paragraph numbers and NPPG references          </w:t>
            </w:r>
          </w:p>
        </w:tc>
        <w:tc>
          <w:tcPr>
            <w:tcW w:w="4147" w:type="dxa"/>
            <w:shd w:val="clear" w:color="auto" w:fill="336600"/>
          </w:tcPr>
          <w:p w:rsidR="00694D2F" w:rsidRPr="00753A16" w:rsidRDefault="00694D2F" w:rsidP="00D0021D">
            <w:pPr>
              <w:rPr>
                <w:b/>
                <w:color w:val="FFFFFF" w:themeColor="background1"/>
              </w:rPr>
            </w:pPr>
            <w:r w:rsidRPr="00753A16">
              <w:rPr>
                <w:b/>
                <w:color w:val="FFFFFF" w:themeColor="background1"/>
              </w:rPr>
              <w:t>Commentary</w:t>
            </w:r>
          </w:p>
        </w:tc>
      </w:tr>
      <w:tr w:rsidR="007738E6" w:rsidTr="00694D2F">
        <w:tc>
          <w:tcPr>
            <w:tcW w:w="1137" w:type="dxa"/>
          </w:tcPr>
          <w:p w:rsidR="007738E6" w:rsidRDefault="007738E6" w:rsidP="00834793">
            <w:r>
              <w:t>P6</w:t>
            </w:r>
          </w:p>
        </w:tc>
        <w:tc>
          <w:tcPr>
            <w:tcW w:w="2126" w:type="dxa"/>
          </w:tcPr>
          <w:p w:rsidR="007738E6" w:rsidRDefault="007738E6" w:rsidP="00834793">
            <w:r>
              <w:t>Enhance Watlington as a service centre</w:t>
            </w:r>
          </w:p>
        </w:tc>
        <w:tc>
          <w:tcPr>
            <w:tcW w:w="1374" w:type="dxa"/>
          </w:tcPr>
          <w:p w:rsidR="007738E6" w:rsidRDefault="007738E6" w:rsidP="00834793">
            <w:r>
              <w:t>23, 28, 70 also NPPG Ensuring the vitality of town centres</w:t>
            </w:r>
          </w:p>
        </w:tc>
        <w:tc>
          <w:tcPr>
            <w:tcW w:w="4147" w:type="dxa"/>
          </w:tcPr>
          <w:p w:rsidR="007738E6" w:rsidRDefault="007738E6" w:rsidP="00834793">
            <w:r>
              <w:t>This policy accords with NPPF policies for ensuring the vitality of town centres, supporting a prosperous rural economy and promoting healthy communities. It recognises that the town centre is the heart of the community and seeks to retain and enhance existing shops and businesses. It encourages sustainable rural tourism and leisure activities appropriate to the character of Watlington which will benefit the community and visitors and provide some local employment opportunities.</w:t>
            </w:r>
          </w:p>
        </w:tc>
      </w:tr>
      <w:tr w:rsidR="007738E6" w:rsidTr="00694D2F">
        <w:tc>
          <w:tcPr>
            <w:tcW w:w="1137" w:type="dxa"/>
          </w:tcPr>
          <w:p w:rsidR="007738E6" w:rsidRDefault="007738E6" w:rsidP="00834793">
            <w:r>
              <w:t>P7</w:t>
            </w:r>
          </w:p>
        </w:tc>
        <w:tc>
          <w:tcPr>
            <w:tcW w:w="2126" w:type="dxa"/>
          </w:tcPr>
          <w:p w:rsidR="007738E6" w:rsidRDefault="007738E6" w:rsidP="00834793">
            <w:r>
              <w:t>Employment</w:t>
            </w:r>
          </w:p>
        </w:tc>
        <w:tc>
          <w:tcPr>
            <w:tcW w:w="1374" w:type="dxa"/>
          </w:tcPr>
          <w:p w:rsidR="007738E6" w:rsidRDefault="007738E6" w:rsidP="00834793">
            <w:r>
              <w:t>28</w:t>
            </w:r>
          </w:p>
        </w:tc>
        <w:tc>
          <w:tcPr>
            <w:tcW w:w="4147" w:type="dxa"/>
          </w:tcPr>
          <w:p w:rsidR="007738E6" w:rsidRDefault="007738E6" w:rsidP="00834793">
            <w:r>
              <w:t>This policy accords with the NPPF policy for supporting a prosperous rural economy.  It promotes economic growth by providing opportunities for additional jobs and businesses which respect the character of the countryside.  It encourages small scale local growers and secondary food producers as they have a potential to increase employment and add to the resilience of the local economy.</w:t>
            </w:r>
          </w:p>
        </w:tc>
      </w:tr>
      <w:tr w:rsidR="007738E6" w:rsidTr="00694D2F">
        <w:tc>
          <w:tcPr>
            <w:tcW w:w="1137" w:type="dxa"/>
          </w:tcPr>
          <w:p w:rsidR="007738E6" w:rsidRDefault="007738E6" w:rsidP="00834793">
            <w:r>
              <w:t>P8</w:t>
            </w:r>
          </w:p>
        </w:tc>
        <w:tc>
          <w:tcPr>
            <w:tcW w:w="2126" w:type="dxa"/>
          </w:tcPr>
          <w:p w:rsidR="007738E6" w:rsidRDefault="007738E6" w:rsidP="00834793">
            <w:r>
              <w:t>Physical and social infrastructure</w:t>
            </w:r>
          </w:p>
        </w:tc>
        <w:tc>
          <w:tcPr>
            <w:tcW w:w="1374" w:type="dxa"/>
          </w:tcPr>
          <w:p w:rsidR="007738E6" w:rsidRDefault="007738E6" w:rsidP="00A04E84">
            <w:r>
              <w:t>28, 29, 42, 69, 70, 72 also NPPG Health and wellbeing, Open space and recreation facilities, public righ</w:t>
            </w:r>
            <w:r w:rsidR="00A04E84">
              <w:t>ts of way and local green space.</w:t>
            </w:r>
          </w:p>
        </w:tc>
        <w:tc>
          <w:tcPr>
            <w:tcW w:w="4147" w:type="dxa"/>
          </w:tcPr>
          <w:p w:rsidR="007738E6" w:rsidRDefault="007738E6" w:rsidP="00834793">
            <w:r>
              <w:t>This policy accords with NPPF policies for supporting a prosperous economy, promoting sustainable transport, supporting high quality communications infrastructure and promoting healthy communities.  It encourages development which includes the retention and development of local services and community facilities. It recognises the need for local schools to expand and for local connectivity to improve by increasing provision of broadband and improving safe access to local paths and rights of way.</w:t>
            </w:r>
          </w:p>
          <w:p w:rsidR="00732C5C" w:rsidRDefault="00732C5C" w:rsidP="00834793"/>
          <w:p w:rsidR="00732C5C" w:rsidRDefault="00732C5C" w:rsidP="00834793"/>
          <w:p w:rsidR="00732C5C" w:rsidRDefault="00732C5C" w:rsidP="00834793"/>
          <w:p w:rsidR="00732C5C" w:rsidRDefault="00732C5C" w:rsidP="00834793"/>
          <w:p w:rsidR="00732C5C" w:rsidRDefault="00732C5C" w:rsidP="00834793"/>
          <w:p w:rsidR="00732C5C" w:rsidRDefault="00732C5C" w:rsidP="00834793"/>
          <w:p w:rsidR="00732C5C" w:rsidRDefault="00732C5C" w:rsidP="00834793"/>
          <w:p w:rsidR="00732C5C" w:rsidRDefault="00732C5C" w:rsidP="00834793"/>
          <w:p w:rsidR="00732C5C" w:rsidRDefault="00732C5C" w:rsidP="00834793"/>
        </w:tc>
      </w:tr>
      <w:tr w:rsidR="00694D2F" w:rsidRPr="00753A16" w:rsidTr="00694D2F">
        <w:tc>
          <w:tcPr>
            <w:tcW w:w="1137" w:type="dxa"/>
            <w:shd w:val="clear" w:color="auto" w:fill="336600"/>
          </w:tcPr>
          <w:p w:rsidR="00694D2F" w:rsidRPr="00753A16" w:rsidRDefault="00694D2F" w:rsidP="00D0021D">
            <w:pPr>
              <w:rPr>
                <w:b/>
                <w:color w:val="FFFFFF" w:themeColor="background1"/>
              </w:rPr>
            </w:pPr>
            <w:r w:rsidRPr="00753A16">
              <w:rPr>
                <w:b/>
                <w:color w:val="FFFFFF" w:themeColor="background1"/>
              </w:rPr>
              <w:t>WNDP Policy number</w:t>
            </w:r>
          </w:p>
          <w:p w:rsidR="00694D2F" w:rsidRPr="00753A16" w:rsidRDefault="00694D2F" w:rsidP="00D0021D">
            <w:pPr>
              <w:rPr>
                <w:b/>
                <w:color w:val="FFFFFF" w:themeColor="background1"/>
              </w:rPr>
            </w:pPr>
          </w:p>
        </w:tc>
        <w:tc>
          <w:tcPr>
            <w:tcW w:w="2126" w:type="dxa"/>
            <w:shd w:val="clear" w:color="auto" w:fill="336600"/>
          </w:tcPr>
          <w:p w:rsidR="00694D2F" w:rsidRPr="00753A16" w:rsidRDefault="00694D2F" w:rsidP="00D0021D">
            <w:pPr>
              <w:rPr>
                <w:b/>
                <w:color w:val="FFFFFF" w:themeColor="background1"/>
              </w:rPr>
            </w:pPr>
            <w:r w:rsidRPr="00753A16">
              <w:rPr>
                <w:b/>
                <w:color w:val="FFFFFF" w:themeColor="background1"/>
              </w:rPr>
              <w:t>Policy</w:t>
            </w:r>
          </w:p>
        </w:tc>
        <w:tc>
          <w:tcPr>
            <w:tcW w:w="1374" w:type="dxa"/>
            <w:shd w:val="clear" w:color="auto" w:fill="336600"/>
          </w:tcPr>
          <w:p w:rsidR="00694D2F" w:rsidRPr="00753A16" w:rsidRDefault="00694D2F" w:rsidP="00D0021D">
            <w:pPr>
              <w:rPr>
                <w:b/>
                <w:color w:val="FFFFFF" w:themeColor="background1"/>
              </w:rPr>
            </w:pPr>
            <w:r w:rsidRPr="00753A16">
              <w:rPr>
                <w:b/>
                <w:color w:val="FFFFFF" w:themeColor="background1"/>
              </w:rPr>
              <w:t xml:space="preserve">NPPF Paragraph numbers and NPPG references          </w:t>
            </w:r>
          </w:p>
        </w:tc>
        <w:tc>
          <w:tcPr>
            <w:tcW w:w="4147" w:type="dxa"/>
            <w:shd w:val="clear" w:color="auto" w:fill="336600"/>
          </w:tcPr>
          <w:p w:rsidR="00694D2F" w:rsidRPr="00753A16" w:rsidRDefault="00694D2F" w:rsidP="00D0021D">
            <w:pPr>
              <w:rPr>
                <w:b/>
                <w:color w:val="FFFFFF" w:themeColor="background1"/>
              </w:rPr>
            </w:pPr>
            <w:r w:rsidRPr="00753A16">
              <w:rPr>
                <w:b/>
                <w:color w:val="FFFFFF" w:themeColor="background1"/>
              </w:rPr>
              <w:t>Commentary</w:t>
            </w:r>
          </w:p>
        </w:tc>
      </w:tr>
      <w:tr w:rsidR="007738E6" w:rsidTr="00694D2F">
        <w:tc>
          <w:tcPr>
            <w:tcW w:w="1137" w:type="dxa"/>
          </w:tcPr>
          <w:p w:rsidR="007738E6" w:rsidRDefault="007738E6" w:rsidP="00834793">
            <w:r>
              <w:t>Site A</w:t>
            </w:r>
          </w:p>
        </w:tc>
        <w:tc>
          <w:tcPr>
            <w:tcW w:w="2126" w:type="dxa"/>
          </w:tcPr>
          <w:p w:rsidR="007738E6" w:rsidRDefault="007738E6" w:rsidP="00834793">
            <w:r>
              <w:t>Watlington Housing Policy</w:t>
            </w:r>
          </w:p>
        </w:tc>
        <w:tc>
          <w:tcPr>
            <w:tcW w:w="1374" w:type="dxa"/>
          </w:tcPr>
          <w:p w:rsidR="00BB3A25" w:rsidRPr="00D74C89" w:rsidRDefault="00BB3A25" w:rsidP="00BB3A25">
            <w:r w:rsidRPr="00D74C89">
              <w:t>111,112,</w:t>
            </w:r>
          </w:p>
          <w:p w:rsidR="007738E6" w:rsidRPr="00D74C89" w:rsidRDefault="00BB3A25" w:rsidP="00BB3A25">
            <w:r w:rsidRPr="00D74C89">
              <w:t>173,174</w:t>
            </w:r>
          </w:p>
        </w:tc>
        <w:tc>
          <w:tcPr>
            <w:tcW w:w="4147" w:type="dxa"/>
          </w:tcPr>
          <w:p w:rsidR="007738E6" w:rsidRPr="00D74C89" w:rsidRDefault="007738E6" w:rsidP="00834793">
            <w:r w:rsidRPr="00D74C89">
              <w:t xml:space="preserve">This policy is linked to WNDP policies P1, P2, P3, P4, P5, P7, </w:t>
            </w:r>
            <w:r w:rsidR="00E6437C" w:rsidRPr="00D74C89">
              <w:t>and P8</w:t>
            </w:r>
            <w:r w:rsidRPr="00D74C89">
              <w:t>.  Conformity of these policies with the NPPF and NPPG is listed above.</w:t>
            </w:r>
            <w:r w:rsidR="00BB3A25" w:rsidRPr="00D74C89">
              <w:t xml:space="preserve"> The site allocations also comply with NPPF policies for the consideration of brownfield sites and agricultural land and policies requiring that development proposals are viable and deliverable.</w:t>
            </w:r>
          </w:p>
        </w:tc>
      </w:tr>
      <w:tr w:rsidR="007738E6" w:rsidTr="00694D2F">
        <w:tc>
          <w:tcPr>
            <w:tcW w:w="1137" w:type="dxa"/>
          </w:tcPr>
          <w:p w:rsidR="007738E6" w:rsidRDefault="007738E6" w:rsidP="00834793">
            <w:r>
              <w:t xml:space="preserve">Site B and </w:t>
            </w:r>
          </w:p>
          <w:p w:rsidR="007738E6" w:rsidRDefault="007738E6" w:rsidP="00834793">
            <w:r>
              <w:t>Site C</w:t>
            </w:r>
          </w:p>
        </w:tc>
        <w:tc>
          <w:tcPr>
            <w:tcW w:w="2126" w:type="dxa"/>
          </w:tcPr>
          <w:p w:rsidR="007738E6" w:rsidRDefault="007738E6" w:rsidP="00834793">
            <w:r>
              <w:t>Watlington Housing Policy</w:t>
            </w:r>
          </w:p>
        </w:tc>
        <w:tc>
          <w:tcPr>
            <w:tcW w:w="1374" w:type="dxa"/>
          </w:tcPr>
          <w:p w:rsidR="00BB3A25" w:rsidRPr="00D74C89" w:rsidRDefault="00BB3A25" w:rsidP="00BB3A25">
            <w:r w:rsidRPr="00D74C89">
              <w:t>111,112,</w:t>
            </w:r>
          </w:p>
          <w:p w:rsidR="007738E6" w:rsidRPr="00BB3A25" w:rsidRDefault="00BB3A25" w:rsidP="00BB3A25">
            <w:pPr>
              <w:rPr>
                <w:color w:val="C00000"/>
              </w:rPr>
            </w:pPr>
            <w:r w:rsidRPr="00D74C89">
              <w:t>173,174</w:t>
            </w:r>
          </w:p>
        </w:tc>
        <w:tc>
          <w:tcPr>
            <w:tcW w:w="4147" w:type="dxa"/>
          </w:tcPr>
          <w:p w:rsidR="007738E6" w:rsidRPr="00D74C89" w:rsidRDefault="007738E6" w:rsidP="00834793">
            <w:r w:rsidRPr="00D74C89">
              <w:t xml:space="preserve">These policies are linked to WNDP policies P1, P2, P3, P4, P5, </w:t>
            </w:r>
            <w:r w:rsidR="00E6437C" w:rsidRPr="00D74C89">
              <w:t>and P8</w:t>
            </w:r>
            <w:r w:rsidRPr="00D74C89">
              <w:t>.  Conformity of these policies with the NPPF and NPPG is listed above.</w:t>
            </w:r>
            <w:r w:rsidR="00BB3A25" w:rsidRPr="00D74C89">
              <w:t xml:space="preserve"> The site allocations also comply with NPPF policies for the consideration of brownfield sites and agricultural land and policies requiring that development proposals are viable and deliverable.</w:t>
            </w:r>
          </w:p>
        </w:tc>
      </w:tr>
    </w:tbl>
    <w:p w:rsidR="007738E6" w:rsidRPr="003B080F" w:rsidRDefault="007738E6" w:rsidP="00F4424F">
      <w:pPr>
        <w:pStyle w:val="Body"/>
        <w:rPr>
          <w:rFonts w:ascii="Calibri" w:hAnsi="Calibri" w:cs="Calibri"/>
        </w:rPr>
      </w:pPr>
    </w:p>
    <w:p w:rsidR="003B6747" w:rsidRDefault="003B6747" w:rsidP="003B6747">
      <w:pPr>
        <w:pStyle w:val="Heading1"/>
      </w:pPr>
      <w:bookmarkStart w:id="16" w:name="_Toc512501017"/>
      <w:r>
        <w:t>CONTRIBUTION TO SUSTAINABLE DEVELOPMENT</w:t>
      </w:r>
      <w:bookmarkEnd w:id="16"/>
    </w:p>
    <w:p w:rsidR="00F4424F" w:rsidRDefault="00F4424F" w:rsidP="00F4424F">
      <w:pPr>
        <w:pStyle w:val="Body"/>
        <w:rPr>
          <w:rFonts w:ascii="Calibri" w:hAnsi="Calibri" w:cs="Calibri"/>
        </w:rPr>
      </w:pPr>
    </w:p>
    <w:p w:rsidR="00E549E2" w:rsidRDefault="00E549E2" w:rsidP="00E549E2">
      <w:pPr>
        <w:pStyle w:val="Heading2"/>
      </w:pPr>
      <w:bookmarkStart w:id="17" w:name="_Toc512501018"/>
      <w:r>
        <w:t>Concept of Sustainable Development</w:t>
      </w:r>
      <w:bookmarkEnd w:id="17"/>
    </w:p>
    <w:p w:rsidR="00E549E2" w:rsidRDefault="00E549E2" w:rsidP="002E79EA">
      <w:r w:rsidRPr="00E549E2">
        <w:t>The WNDP embraces the concept of sustainable development</w:t>
      </w:r>
      <w:r>
        <w:t xml:space="preserve"> in accordance with NPPF 14, </w:t>
      </w:r>
      <w:r w:rsidR="00BB3A25">
        <w:t xml:space="preserve">15, </w:t>
      </w:r>
      <w:r>
        <w:t xml:space="preserve">16 and 17 and ways to promote economic, social and environmental sustainability </w:t>
      </w:r>
      <w:r w:rsidR="00BB3A25">
        <w:t xml:space="preserve">have been considered </w:t>
      </w:r>
      <w:r>
        <w:t>throughout the process of developing the Plan.   In line with NPPF 9, the WNDP has looked for opportunities to improve the quality of the built, natural and historic environment, as well as in people’s quality of life including:</w:t>
      </w:r>
    </w:p>
    <w:p w:rsidR="00E549E2" w:rsidRDefault="00E549E2" w:rsidP="006D293C">
      <w:pPr>
        <w:pStyle w:val="NoSpacing"/>
        <w:numPr>
          <w:ilvl w:val="0"/>
          <w:numId w:val="16"/>
        </w:numPr>
      </w:pPr>
      <w:r>
        <w:t xml:space="preserve">Making it easier for jobs to be created </w:t>
      </w:r>
    </w:p>
    <w:p w:rsidR="00E549E2" w:rsidRDefault="00E549E2" w:rsidP="006D293C">
      <w:pPr>
        <w:pStyle w:val="NoSpacing"/>
        <w:numPr>
          <w:ilvl w:val="0"/>
          <w:numId w:val="16"/>
        </w:numPr>
      </w:pPr>
      <w:r>
        <w:t>Moving from a net loss of bio-diversity to achieving net gains for nature</w:t>
      </w:r>
    </w:p>
    <w:p w:rsidR="00E549E2" w:rsidRDefault="00E549E2" w:rsidP="006D293C">
      <w:pPr>
        <w:pStyle w:val="NoSpacing"/>
        <w:numPr>
          <w:ilvl w:val="0"/>
          <w:numId w:val="16"/>
        </w:numPr>
      </w:pPr>
      <w:r>
        <w:t>Replacing poor design with good design</w:t>
      </w:r>
    </w:p>
    <w:p w:rsidR="00E549E2" w:rsidRDefault="00E549E2" w:rsidP="006D293C">
      <w:pPr>
        <w:pStyle w:val="NoSpacing"/>
        <w:numPr>
          <w:ilvl w:val="0"/>
          <w:numId w:val="16"/>
        </w:numPr>
      </w:pPr>
      <w:r>
        <w:t>Improving the conditions in which people live, work, travel and take leisure</w:t>
      </w:r>
    </w:p>
    <w:p w:rsidR="00E549E2" w:rsidRDefault="00E549E2" w:rsidP="006D293C">
      <w:pPr>
        <w:pStyle w:val="NoSpacing"/>
        <w:numPr>
          <w:ilvl w:val="0"/>
          <w:numId w:val="16"/>
        </w:numPr>
      </w:pPr>
      <w:r>
        <w:t>Widening the choice of high quality homes</w:t>
      </w:r>
    </w:p>
    <w:p w:rsidR="00E549E2" w:rsidRDefault="00E549E2" w:rsidP="00E549E2">
      <w:pPr>
        <w:pStyle w:val="NoSpacing"/>
      </w:pPr>
    </w:p>
    <w:p w:rsidR="00E549E2" w:rsidRDefault="00E549E2" w:rsidP="00E549E2">
      <w:pPr>
        <w:pStyle w:val="Heading2"/>
      </w:pPr>
      <w:bookmarkStart w:id="18" w:name="_Toc512501019"/>
      <w:r>
        <w:t>The WNDP meets the need for sustainable growth in the following ways:</w:t>
      </w:r>
      <w:bookmarkEnd w:id="18"/>
    </w:p>
    <w:p w:rsidR="00E549E2" w:rsidRDefault="00E549E2" w:rsidP="006D293C">
      <w:pPr>
        <w:pStyle w:val="NoSpacing"/>
        <w:numPr>
          <w:ilvl w:val="0"/>
          <w:numId w:val="17"/>
        </w:numPr>
      </w:pPr>
      <w:r>
        <w:t xml:space="preserve">It seeks to enhance and improve the places in which people live their lives. </w:t>
      </w:r>
      <w:r w:rsidR="006F4B18">
        <w:t>(WNDP Policies P1, P2, P3, P4, P</w:t>
      </w:r>
      <w:r w:rsidR="00B75F21">
        <w:t>5, P8</w:t>
      </w:r>
      <w:r>
        <w:t>)</w:t>
      </w:r>
    </w:p>
    <w:p w:rsidR="00E549E2" w:rsidRDefault="00E549E2" w:rsidP="006D293C">
      <w:pPr>
        <w:pStyle w:val="NoSpacing"/>
        <w:numPr>
          <w:ilvl w:val="0"/>
          <w:numId w:val="17"/>
        </w:numPr>
      </w:pPr>
      <w:r>
        <w:t>It supports economic development. (WNDP Policies P6, P7)</w:t>
      </w:r>
    </w:p>
    <w:p w:rsidR="00E549E2" w:rsidRDefault="00E549E2" w:rsidP="006D293C">
      <w:pPr>
        <w:pStyle w:val="NoSpacing"/>
        <w:numPr>
          <w:ilvl w:val="0"/>
          <w:numId w:val="17"/>
        </w:numPr>
      </w:pPr>
      <w:r>
        <w:t>It seeks to secure high quality design for new sites and buildings and good standards of amenity for new and existing residents. (WNDP</w:t>
      </w:r>
      <w:r w:rsidR="00B75F21">
        <w:t xml:space="preserve"> Policies P1, P4, P5, P6, P8</w:t>
      </w:r>
      <w:r>
        <w:t>)</w:t>
      </w:r>
    </w:p>
    <w:p w:rsidR="00E549E2" w:rsidRDefault="00E549E2" w:rsidP="006D293C">
      <w:pPr>
        <w:pStyle w:val="NoSpacing"/>
        <w:numPr>
          <w:ilvl w:val="0"/>
          <w:numId w:val="17"/>
        </w:numPr>
      </w:pPr>
      <w:r>
        <w:t>It takes account of the different roles and character of different parts of the Plan area, recognises the intrinsic beauty o</w:t>
      </w:r>
      <w:r w:rsidR="00BB3A25">
        <w:t xml:space="preserve">f the countryside and promotes </w:t>
      </w:r>
      <w:r>
        <w:t>thriving communit</w:t>
      </w:r>
      <w:r w:rsidR="00BB3A25">
        <w:t>ies</w:t>
      </w:r>
      <w:r>
        <w:t>. (WNDP Policies (P1, P3, P6)</w:t>
      </w:r>
    </w:p>
    <w:p w:rsidR="00E549E2" w:rsidRDefault="00E549E2" w:rsidP="006D293C">
      <w:pPr>
        <w:pStyle w:val="NoSpacing"/>
        <w:numPr>
          <w:ilvl w:val="0"/>
          <w:numId w:val="17"/>
        </w:numPr>
      </w:pPr>
      <w:r>
        <w:t xml:space="preserve"> It supports the transition to a low carbon future in response to a changing cli</w:t>
      </w:r>
      <w:r w:rsidR="00B75F21">
        <w:t>mate. (WNDP Policies (P3, P5</w:t>
      </w:r>
      <w:r>
        <w:t>)</w:t>
      </w:r>
    </w:p>
    <w:p w:rsidR="00E549E2" w:rsidRDefault="00E549E2" w:rsidP="006D293C">
      <w:pPr>
        <w:pStyle w:val="NoSpacing"/>
        <w:numPr>
          <w:ilvl w:val="0"/>
          <w:numId w:val="17"/>
        </w:numPr>
      </w:pPr>
      <w:r>
        <w:t>It contributes to conserving and enhancing the natural environment and reducing pollution. (WNDP Policies P2, P3, P4)</w:t>
      </w:r>
    </w:p>
    <w:p w:rsidR="00E549E2" w:rsidRDefault="00E549E2" w:rsidP="006D293C">
      <w:pPr>
        <w:pStyle w:val="NoSpacing"/>
        <w:numPr>
          <w:ilvl w:val="0"/>
          <w:numId w:val="17"/>
        </w:numPr>
      </w:pPr>
      <w:r>
        <w:t>It promotes safe routes for cycling and wa</w:t>
      </w:r>
      <w:r w:rsidR="00B75F21">
        <w:t>lking. (WNDP Policies P5, P8</w:t>
      </w:r>
      <w:r>
        <w:t>)</w:t>
      </w:r>
    </w:p>
    <w:p w:rsidR="00E549E2" w:rsidRDefault="00E549E2" w:rsidP="006D293C">
      <w:pPr>
        <w:pStyle w:val="NoSpacing"/>
        <w:numPr>
          <w:ilvl w:val="0"/>
          <w:numId w:val="17"/>
        </w:numPr>
      </w:pPr>
      <w:r>
        <w:t>It aims to deliver community facilities which meet lo</w:t>
      </w:r>
      <w:r w:rsidR="00B75F21">
        <w:t>cal needs. (WNDP Policies P8</w:t>
      </w:r>
      <w:r>
        <w:t xml:space="preserve">) </w:t>
      </w:r>
    </w:p>
    <w:p w:rsidR="00C4390F" w:rsidRDefault="00C4390F" w:rsidP="00C4390F">
      <w:pPr>
        <w:pStyle w:val="NoSpacing"/>
      </w:pPr>
    </w:p>
    <w:p w:rsidR="00C4390F" w:rsidRPr="00D74C89" w:rsidRDefault="00C4390F" w:rsidP="00C4390F">
      <w:pPr>
        <w:pStyle w:val="NoSpacing"/>
      </w:pPr>
      <w:r w:rsidRPr="00D74C89">
        <w:t>This approach to plan making accords with the core planning principles in NPPF 17.</w:t>
      </w:r>
    </w:p>
    <w:p w:rsidR="00E549E2" w:rsidRDefault="00E549E2" w:rsidP="00E549E2">
      <w:pPr>
        <w:pStyle w:val="NoSpacing"/>
        <w:ind w:left="720"/>
      </w:pPr>
    </w:p>
    <w:p w:rsidR="00E549E2" w:rsidRDefault="00E549E2" w:rsidP="00E549E2">
      <w:pPr>
        <w:pStyle w:val="Heading2"/>
      </w:pPr>
      <w:bookmarkStart w:id="19" w:name="_Toc512501020"/>
      <w:r>
        <w:t xml:space="preserve">Sustainability Appraisal Scoping Report </w:t>
      </w:r>
      <w:r w:rsidR="00BC14E1">
        <w:t>and Sustainability Appraisal/Environmental Report</w:t>
      </w:r>
      <w:bookmarkEnd w:id="19"/>
    </w:p>
    <w:p w:rsidR="00E549E2" w:rsidRDefault="00E549E2" w:rsidP="002E79EA">
      <w:r>
        <w:t>A Sustainability Appraisal Scoping Report</w:t>
      </w:r>
      <w:r w:rsidR="00A04E84">
        <w:t xml:space="preserve"> (WNDP 5)</w:t>
      </w:r>
      <w:r>
        <w:t>, which includes a Strategic Environmental Assessment (SEA) was produced in January 2017.  Further information on the SEA is included in Section 5.  The Scoping Report was sent for comments to bodies including the Environment Agency, Historic England, Natural England and The Chilterns Conservation Board.  Feedback from these bodies was incorporated into the Sustainability Appraisal/Environmental Report which was included in the pre-submission consultation on the WNDP which ran for a six week period between 18</w:t>
      </w:r>
      <w:r w:rsidRPr="0059470F">
        <w:rPr>
          <w:vertAlign w:val="superscript"/>
        </w:rPr>
        <w:t>th</w:t>
      </w:r>
      <w:r w:rsidR="002E79EA">
        <w:t xml:space="preserve"> April, 2017 and</w:t>
      </w:r>
      <w:r>
        <w:t xml:space="preserve"> 2</w:t>
      </w:r>
      <w:r w:rsidRPr="0059470F">
        <w:rPr>
          <w:vertAlign w:val="superscript"/>
        </w:rPr>
        <w:t>nd</w:t>
      </w:r>
      <w:r>
        <w:t xml:space="preserve"> June 2017.  Amendments were made to the document as a result of further comments by the statutory consultees.</w:t>
      </w:r>
    </w:p>
    <w:p w:rsidR="00BC14E1" w:rsidRDefault="00BC14E1" w:rsidP="00E549E2">
      <w:pPr>
        <w:pStyle w:val="NoSpacing"/>
      </w:pPr>
    </w:p>
    <w:p w:rsidR="00BC14E1" w:rsidRDefault="00BC14E1" w:rsidP="00E549E2">
      <w:pPr>
        <w:pStyle w:val="NoSpacing"/>
      </w:pPr>
    </w:p>
    <w:p w:rsidR="00BC14E1" w:rsidRDefault="00BC14E1" w:rsidP="00E549E2">
      <w:pPr>
        <w:pStyle w:val="NoSpacing"/>
      </w:pPr>
    </w:p>
    <w:p w:rsidR="00E549E2" w:rsidRDefault="00E549E2" w:rsidP="00E549E2">
      <w:pPr>
        <w:pStyle w:val="NoSpacing"/>
      </w:pPr>
    </w:p>
    <w:p w:rsidR="00E549E2" w:rsidRDefault="00E549E2" w:rsidP="00E549E2">
      <w:pPr>
        <w:pStyle w:val="Heading2"/>
      </w:pPr>
      <w:bookmarkStart w:id="20" w:name="_Toc512501021"/>
      <w:r>
        <w:t xml:space="preserve">Assessment of </w:t>
      </w:r>
      <w:r w:rsidR="007738E6">
        <w:t>the Plan</w:t>
      </w:r>
      <w:bookmarkEnd w:id="20"/>
      <w:r w:rsidR="007738E6">
        <w:t xml:space="preserve"> </w:t>
      </w:r>
    </w:p>
    <w:p w:rsidR="00E549E2" w:rsidRDefault="00E549E2" w:rsidP="002E79EA">
      <w:r>
        <w:tab/>
        <w:t xml:space="preserve">The WNDP objectives and policies were assessed against the Sustainability Objectives </w:t>
      </w:r>
      <w:r w:rsidR="00A72212">
        <w:t xml:space="preserve">(Appendix A) </w:t>
      </w:r>
      <w:r>
        <w:t>using an agreed framework.  Alternative options for development were assessed using the same framework and details are included in the Sustainability Appraisa</w:t>
      </w:r>
      <w:r w:rsidR="00BB3A25">
        <w:t>l (WNDP 4</w:t>
      </w:r>
      <w:r>
        <w:t>) and the Development Sites Topic Paper</w:t>
      </w:r>
      <w:r w:rsidR="00BB3A25">
        <w:t xml:space="preserve"> (WNDP 12)</w:t>
      </w:r>
      <w:r>
        <w:t>.  An analysis of the likely effects of WNDP policies together with recommendations for mitigation measures is also included in the SA document.</w:t>
      </w:r>
    </w:p>
    <w:p w:rsidR="00E549E2" w:rsidRDefault="00E549E2" w:rsidP="00E549E2">
      <w:pPr>
        <w:pStyle w:val="NoSpacing"/>
      </w:pPr>
      <w:r>
        <w:t>The main mitigation measures identified as a result of selecting sites for development are:</w:t>
      </w:r>
    </w:p>
    <w:p w:rsidR="00A72212" w:rsidRDefault="00A72212" w:rsidP="00E549E2">
      <w:pPr>
        <w:pStyle w:val="NoSpacing"/>
      </w:pPr>
    </w:p>
    <w:p w:rsidR="00E549E2" w:rsidRDefault="00E549E2" w:rsidP="006D293C">
      <w:pPr>
        <w:pStyle w:val="ListParagraph"/>
        <w:numPr>
          <w:ilvl w:val="0"/>
          <w:numId w:val="19"/>
        </w:numPr>
      </w:pPr>
      <w:r>
        <w:t xml:space="preserve">The loss of farmland, as greenfield development sites, will be mitigated by the provision on the sites of green spaces to be used as allotments, community gardens, a community orchard or areas for informal recreation.  </w:t>
      </w:r>
    </w:p>
    <w:p w:rsidR="00E549E2" w:rsidRDefault="00E549E2" w:rsidP="006D293C">
      <w:pPr>
        <w:pStyle w:val="ListParagraph"/>
        <w:numPr>
          <w:ilvl w:val="0"/>
          <w:numId w:val="19"/>
        </w:numPr>
      </w:pPr>
      <w:r>
        <w:t>Net gains in biodiversity will be sought through the provision of habitat linkages and corridors for wildlife.</w:t>
      </w:r>
    </w:p>
    <w:p w:rsidR="00E549E2" w:rsidRDefault="00E549E2" w:rsidP="006D293C">
      <w:pPr>
        <w:pStyle w:val="ListParagraph"/>
        <w:numPr>
          <w:ilvl w:val="0"/>
          <w:numId w:val="19"/>
        </w:numPr>
      </w:pPr>
      <w:r>
        <w:t>The impact of a new road crossing a chalk stream will be mitigated by the provision of a wetland and wildlife area.</w:t>
      </w:r>
    </w:p>
    <w:p w:rsidR="00E549E2" w:rsidRDefault="00E549E2" w:rsidP="006D293C">
      <w:pPr>
        <w:pStyle w:val="ListParagraph"/>
        <w:numPr>
          <w:ilvl w:val="0"/>
          <w:numId w:val="19"/>
        </w:numPr>
      </w:pPr>
      <w:r>
        <w:t>The impact of development on the dark skies around Watlington will be mitigated by sensitive lighting schemes which have the least environmental impact.</w:t>
      </w: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F4424F" w:rsidRDefault="00F4424F"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3B6747" w:rsidRDefault="003B6747" w:rsidP="00F4424F">
      <w:pPr>
        <w:pStyle w:val="Body"/>
        <w:rPr>
          <w:rFonts w:ascii="Calibri" w:hAnsi="Calibri" w:cs="Calibri"/>
        </w:rPr>
      </w:pPr>
    </w:p>
    <w:p w:rsidR="00F4424F" w:rsidRDefault="00F4424F" w:rsidP="003B6747">
      <w:pPr>
        <w:pStyle w:val="Heading1"/>
      </w:pPr>
      <w:bookmarkStart w:id="21" w:name="_Toc512501022"/>
      <w:r w:rsidRPr="00F76070">
        <w:t xml:space="preserve">CONFORMITY WITH </w:t>
      </w:r>
      <w:r w:rsidR="00E549E2">
        <w:t>SOUTH OXFORDSHIRE DEVELOPMENT PLANS</w:t>
      </w:r>
      <w:bookmarkEnd w:id="21"/>
    </w:p>
    <w:p w:rsidR="00E549E2" w:rsidRDefault="00E549E2" w:rsidP="00E549E2">
      <w:pPr>
        <w:pStyle w:val="Heading2"/>
      </w:pPr>
      <w:bookmarkStart w:id="22" w:name="_Toc512501023"/>
      <w:r>
        <w:t>Conformity</w:t>
      </w:r>
      <w:r w:rsidR="00E947C8">
        <w:t xml:space="preserve"> with </w:t>
      </w:r>
      <w:r w:rsidR="00A72212">
        <w:t xml:space="preserve">SODC </w:t>
      </w:r>
      <w:r w:rsidR="00E947C8">
        <w:t>Core Strategy</w:t>
      </w:r>
      <w:r w:rsidR="007738E6">
        <w:t xml:space="preserve"> 2012</w:t>
      </w:r>
      <w:bookmarkEnd w:id="22"/>
    </w:p>
    <w:p w:rsidR="00E549E2" w:rsidRDefault="00E549E2" w:rsidP="002E79EA">
      <w:r w:rsidRPr="00E549E2">
        <w:rPr>
          <w:szCs w:val="24"/>
        </w:rPr>
        <w:t>The WNDP is in general conformity with the strategic policies in the SODC Core Strategy 2012.</w:t>
      </w:r>
      <w:r w:rsidRPr="00E549E2">
        <w:t xml:space="preserve">   Deta</w:t>
      </w:r>
      <w:r w:rsidR="00E947C8">
        <w:t xml:space="preserve">ils are contained in Table 2.  </w:t>
      </w:r>
      <w:r w:rsidRPr="00E549E2">
        <w:t>The principle applied in the WNDP is in line wi</w:t>
      </w:r>
      <w:r w:rsidR="00BC14E1">
        <w:t>th PPG Neighbourhood Planning (</w:t>
      </w:r>
      <w:r w:rsidRPr="00E549E2">
        <w:t xml:space="preserve">paragraph 74) and aims to provide ‘an additional level of detail and/or a distinct local approach to that set out in the strategic policy without undermining that policy.’ </w:t>
      </w:r>
    </w:p>
    <w:p w:rsidR="00E549E2" w:rsidRDefault="00E549E2" w:rsidP="00F4424F">
      <w:pPr>
        <w:pStyle w:val="Body"/>
        <w:rPr>
          <w:rFonts w:ascii="Calibri" w:hAnsi="Calibri" w:cs="Calibri"/>
          <w:sz w:val="24"/>
        </w:rPr>
      </w:pPr>
    </w:p>
    <w:p w:rsidR="00226F2A" w:rsidRDefault="00226F2A" w:rsidP="007473C4">
      <w:pPr>
        <w:pStyle w:val="TableHeadings"/>
      </w:pPr>
      <w:bookmarkStart w:id="23" w:name="_Toc512501033"/>
      <w:r>
        <w:t xml:space="preserve">Table </w:t>
      </w:r>
      <w:r>
        <w:fldChar w:fldCharType="begin"/>
      </w:r>
      <w:r>
        <w:instrText xml:space="preserve"> SEQ Table \* ARABIC </w:instrText>
      </w:r>
      <w:r>
        <w:fldChar w:fldCharType="separate"/>
      </w:r>
      <w:r w:rsidR="00651451">
        <w:rPr>
          <w:noProof/>
        </w:rPr>
        <w:t>2</w:t>
      </w:r>
      <w:r>
        <w:fldChar w:fldCharType="end"/>
      </w:r>
      <w:r>
        <w:t>: Conformity with SODC Core Strategy 2012</w:t>
      </w:r>
      <w:bookmarkEnd w:id="23"/>
    </w:p>
    <w:p w:rsidR="00E549E2" w:rsidRPr="00E947C8" w:rsidRDefault="00E549E2" w:rsidP="00F4424F">
      <w:pPr>
        <w:pStyle w:val="Body"/>
        <w:rPr>
          <w:rFonts w:ascii="Calibri" w:hAnsi="Calibri" w:cs="Calibri"/>
          <w:b/>
          <w:color w:val="FF0000"/>
          <w:sz w:val="24"/>
        </w:rPr>
      </w:pPr>
    </w:p>
    <w:tbl>
      <w:tblPr>
        <w:tblW w:w="8014" w:type="dxa"/>
        <w:tblCellMar>
          <w:left w:w="10" w:type="dxa"/>
          <w:right w:w="10" w:type="dxa"/>
        </w:tblCellMar>
        <w:tblLook w:val="0000" w:firstRow="0" w:lastRow="0" w:firstColumn="0" w:lastColumn="0" w:noHBand="0" w:noVBand="0"/>
      </w:tblPr>
      <w:tblGrid>
        <w:gridCol w:w="1137"/>
        <w:gridCol w:w="2019"/>
        <w:gridCol w:w="1262"/>
        <w:gridCol w:w="3596"/>
      </w:tblGrid>
      <w:tr w:rsidR="00753A16" w:rsidRPr="00753A16" w:rsidTr="00694D2F">
        <w:tc>
          <w:tcPr>
            <w:tcW w:w="1137"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834793" w:rsidRPr="00753A16" w:rsidRDefault="00834793" w:rsidP="00834793">
            <w:pPr>
              <w:spacing w:after="0" w:line="240" w:lineRule="auto"/>
              <w:rPr>
                <w:b/>
                <w:color w:val="FFFFFF" w:themeColor="background1"/>
              </w:rPr>
            </w:pPr>
            <w:r w:rsidRPr="00753A16">
              <w:rPr>
                <w:b/>
                <w:color w:val="FFFFFF" w:themeColor="background1"/>
              </w:rPr>
              <w:t>WNDP</w:t>
            </w:r>
          </w:p>
          <w:p w:rsidR="00834793" w:rsidRPr="00753A16" w:rsidRDefault="00834793" w:rsidP="00834793">
            <w:pPr>
              <w:spacing w:after="0" w:line="240" w:lineRule="auto"/>
              <w:rPr>
                <w:b/>
                <w:color w:val="FFFFFF" w:themeColor="background1"/>
              </w:rPr>
            </w:pPr>
            <w:r w:rsidRPr="00753A16">
              <w:rPr>
                <w:b/>
                <w:color w:val="FFFFFF" w:themeColor="background1"/>
              </w:rPr>
              <w:t>Policy number</w:t>
            </w:r>
          </w:p>
          <w:p w:rsidR="00834793" w:rsidRPr="00753A16" w:rsidRDefault="00834793" w:rsidP="00834793">
            <w:pPr>
              <w:spacing w:after="0" w:line="240" w:lineRule="auto"/>
              <w:rPr>
                <w:b/>
                <w:color w:val="FFFFFF" w:themeColor="background1"/>
              </w:rPr>
            </w:pPr>
          </w:p>
        </w:tc>
        <w:tc>
          <w:tcPr>
            <w:tcW w:w="2019"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834793" w:rsidRPr="00753A16" w:rsidRDefault="00834793" w:rsidP="00834793">
            <w:pPr>
              <w:spacing w:after="0" w:line="240" w:lineRule="auto"/>
              <w:rPr>
                <w:b/>
                <w:color w:val="FFFFFF" w:themeColor="background1"/>
              </w:rPr>
            </w:pPr>
            <w:r w:rsidRPr="00753A16">
              <w:rPr>
                <w:b/>
                <w:color w:val="FFFFFF" w:themeColor="background1"/>
              </w:rPr>
              <w:t>WNDP Policy</w:t>
            </w:r>
          </w:p>
        </w:tc>
        <w:tc>
          <w:tcPr>
            <w:tcW w:w="1262"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834793" w:rsidRPr="00753A16" w:rsidRDefault="00834793" w:rsidP="00834793">
            <w:pPr>
              <w:spacing w:after="0" w:line="240" w:lineRule="auto"/>
              <w:rPr>
                <w:b/>
                <w:color w:val="FFFFFF" w:themeColor="background1"/>
              </w:rPr>
            </w:pPr>
            <w:r w:rsidRPr="00753A16">
              <w:rPr>
                <w:b/>
                <w:color w:val="FFFFFF" w:themeColor="background1"/>
              </w:rPr>
              <w:t>SODC Core Strategy (CS)Policies</w:t>
            </w:r>
          </w:p>
        </w:tc>
        <w:tc>
          <w:tcPr>
            <w:tcW w:w="3596"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834793" w:rsidRPr="00753A16" w:rsidRDefault="00834793" w:rsidP="00834793">
            <w:pPr>
              <w:spacing w:after="0" w:line="240" w:lineRule="auto"/>
              <w:rPr>
                <w:b/>
                <w:color w:val="FFFFFF" w:themeColor="background1"/>
              </w:rPr>
            </w:pPr>
            <w:r w:rsidRPr="00753A16">
              <w:rPr>
                <w:b/>
                <w:color w:val="FFFFFF" w:themeColor="background1"/>
              </w:rPr>
              <w:t>Commentary</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P1</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Protect and enhance the character of Watlington and the historic setting of the town</w:t>
            </w:r>
          </w:p>
          <w:p w:rsidR="00834793" w:rsidRDefault="00834793" w:rsidP="00834793">
            <w:pPr>
              <w:spacing w:after="0" w:line="240" w:lineRule="auto"/>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CSEN1, CSEN3, CSQ3</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BC14E1" w:rsidP="00834793">
            <w:pPr>
              <w:spacing w:after="0" w:line="240" w:lineRule="auto"/>
            </w:pPr>
            <w:r>
              <w:t xml:space="preserve">This policy conforms with CS </w:t>
            </w:r>
            <w:r w:rsidR="00834793">
              <w:t xml:space="preserve">policies for the Historic Environment and Design.  It adds local distinctiveness to the core SODC policies   </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P2</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Transport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CSM1</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 xml:space="preserve">This policy conforms with the CS policy for Transport, particularly in relation to the proposals for improving air quality and for car parking.  </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P3</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Conserve and enhance the natural environment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CSEN1, CSG1, CSB1,</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This policy conforms with CS policies for Landscape, Green in</w:t>
            </w:r>
            <w:r w:rsidR="00A72212">
              <w:t xml:space="preserve">frastructure and biodiversity. </w:t>
            </w:r>
            <w:r>
              <w:t>It provides a local context and specific local proposals.</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P4</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Green Spaces</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CSG1</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This policy conforms with the CS policy for Green infra</w:t>
            </w:r>
            <w:r w:rsidR="00A72212">
              <w:t xml:space="preserve">structure and biodiversity. It </w:t>
            </w:r>
            <w:r>
              <w:t>provides local context and detail.</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P5</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New housing development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CSH1, CSH2, CSH3, CSH4</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 xml:space="preserve">While these policies are out of date, the WNDP policy on housing is in general conformity with them, particularly with regard to the provision of affordable housing. </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P6</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Enhance Watlington as a service centre</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CSEM1, CST1, CSR2</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This policy conforms with the provision in these policies for supporting tourism, local centres and shopping and support for reinforcing local distinctiveness.</w:t>
            </w:r>
          </w:p>
        </w:tc>
      </w:tr>
      <w:tr w:rsidR="00694D2F" w:rsidRPr="00753A16" w:rsidTr="00694D2F">
        <w:tc>
          <w:tcPr>
            <w:tcW w:w="1137"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694D2F" w:rsidRPr="00753A16" w:rsidRDefault="00694D2F" w:rsidP="00D0021D">
            <w:pPr>
              <w:spacing w:after="0" w:line="240" w:lineRule="auto"/>
              <w:rPr>
                <w:b/>
                <w:color w:val="FFFFFF" w:themeColor="background1"/>
              </w:rPr>
            </w:pPr>
            <w:r w:rsidRPr="00753A16">
              <w:rPr>
                <w:b/>
                <w:color w:val="FFFFFF" w:themeColor="background1"/>
              </w:rPr>
              <w:t>WNDP</w:t>
            </w:r>
          </w:p>
          <w:p w:rsidR="00694D2F" w:rsidRPr="00753A16" w:rsidRDefault="00694D2F" w:rsidP="00D0021D">
            <w:pPr>
              <w:spacing w:after="0" w:line="240" w:lineRule="auto"/>
              <w:rPr>
                <w:b/>
                <w:color w:val="FFFFFF" w:themeColor="background1"/>
              </w:rPr>
            </w:pPr>
            <w:r w:rsidRPr="00753A16">
              <w:rPr>
                <w:b/>
                <w:color w:val="FFFFFF" w:themeColor="background1"/>
              </w:rPr>
              <w:t>Policy number</w:t>
            </w:r>
          </w:p>
          <w:p w:rsidR="00694D2F" w:rsidRPr="00753A16" w:rsidRDefault="00694D2F" w:rsidP="00D0021D">
            <w:pPr>
              <w:spacing w:after="0" w:line="240" w:lineRule="auto"/>
              <w:rPr>
                <w:b/>
                <w:color w:val="FFFFFF" w:themeColor="background1"/>
              </w:rPr>
            </w:pPr>
          </w:p>
        </w:tc>
        <w:tc>
          <w:tcPr>
            <w:tcW w:w="2019"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694D2F" w:rsidRPr="00753A16" w:rsidRDefault="00694D2F" w:rsidP="00D0021D">
            <w:pPr>
              <w:spacing w:after="0" w:line="240" w:lineRule="auto"/>
              <w:rPr>
                <w:b/>
                <w:color w:val="FFFFFF" w:themeColor="background1"/>
              </w:rPr>
            </w:pPr>
            <w:r w:rsidRPr="00753A16">
              <w:rPr>
                <w:b/>
                <w:color w:val="FFFFFF" w:themeColor="background1"/>
              </w:rPr>
              <w:t>WNDP Policy</w:t>
            </w:r>
          </w:p>
        </w:tc>
        <w:tc>
          <w:tcPr>
            <w:tcW w:w="1262"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694D2F" w:rsidRPr="00753A16" w:rsidRDefault="00694D2F" w:rsidP="00D0021D">
            <w:pPr>
              <w:spacing w:after="0" w:line="240" w:lineRule="auto"/>
              <w:rPr>
                <w:b/>
                <w:color w:val="FFFFFF" w:themeColor="background1"/>
              </w:rPr>
            </w:pPr>
            <w:r w:rsidRPr="00753A16">
              <w:rPr>
                <w:b/>
                <w:color w:val="FFFFFF" w:themeColor="background1"/>
              </w:rPr>
              <w:t>SODC Core Strategy (CS)Policies</w:t>
            </w:r>
          </w:p>
        </w:tc>
        <w:tc>
          <w:tcPr>
            <w:tcW w:w="3596" w:type="dxa"/>
            <w:tcBorders>
              <w:top w:val="single" w:sz="4" w:space="0" w:color="000000"/>
              <w:left w:val="single" w:sz="4" w:space="0" w:color="000000"/>
              <w:bottom w:val="single" w:sz="4" w:space="0" w:color="000000"/>
              <w:right w:val="single" w:sz="4" w:space="0" w:color="000000"/>
            </w:tcBorders>
            <w:shd w:val="clear" w:color="auto" w:fill="336600"/>
            <w:tcMar>
              <w:top w:w="0" w:type="dxa"/>
              <w:left w:w="108" w:type="dxa"/>
              <w:bottom w:w="0" w:type="dxa"/>
              <w:right w:w="108" w:type="dxa"/>
            </w:tcMar>
          </w:tcPr>
          <w:p w:rsidR="00694D2F" w:rsidRPr="00753A16" w:rsidRDefault="00694D2F" w:rsidP="00D0021D">
            <w:pPr>
              <w:spacing w:after="0" w:line="240" w:lineRule="auto"/>
              <w:rPr>
                <w:b/>
                <w:color w:val="FFFFFF" w:themeColor="background1"/>
              </w:rPr>
            </w:pPr>
            <w:r w:rsidRPr="00753A16">
              <w:rPr>
                <w:b/>
                <w:color w:val="FFFFFF" w:themeColor="background1"/>
              </w:rPr>
              <w:t>Commentary</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P7</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Employment</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CSEM2,  CSEM4, CSR2</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This policy conforms with the provision in these policies for new employment sites, for supporting home workers, for tourism businesses based on the character of the area and for agricultural diversification.</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P8</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Physical and social infrastructure</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CSM1, CSR3, CSI1</w:t>
            </w: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This policy conforms with the provision in these policies for the encouragement of facilities and services in rural areas, for the encouragement of cycling, walking and rural transport initiatives and for support for appropriate on- and off-site infrastructure and services to meet the needs of new development.</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 xml:space="preserve">Site A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Watlington Housing Policy</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 xml:space="preserve">This policy is derived from the WNDP policies P1, P2, P3, P4, P5, P7 and P8 and comply with the Core Strategy policies identified above. </w:t>
            </w:r>
          </w:p>
        </w:tc>
      </w:tr>
      <w:tr w:rsidR="00834793" w:rsidTr="00694D2F">
        <w:tc>
          <w:tcPr>
            <w:tcW w:w="11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Site B</w:t>
            </w:r>
          </w:p>
          <w:p w:rsidR="00834793" w:rsidRDefault="00834793" w:rsidP="00834793">
            <w:pPr>
              <w:spacing w:after="0" w:line="240" w:lineRule="auto"/>
            </w:pPr>
            <w:r>
              <w:t>Site C</w:t>
            </w:r>
          </w:p>
        </w:tc>
        <w:tc>
          <w:tcPr>
            <w:tcW w:w="2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Watlington Housing Policy</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p>
        </w:tc>
        <w:tc>
          <w:tcPr>
            <w:tcW w:w="3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34793" w:rsidRDefault="00834793" w:rsidP="00834793">
            <w:pPr>
              <w:spacing w:after="0" w:line="240" w:lineRule="auto"/>
            </w:pPr>
            <w:r>
              <w:t xml:space="preserve">These policies are derived from the WNDP policies P1, P2, P3, P4, P5, </w:t>
            </w:r>
            <w:r w:rsidR="00E6437C">
              <w:t>and P8</w:t>
            </w:r>
            <w:r>
              <w:t xml:space="preserve"> and comply with the Core Strategy policies identified above.</w:t>
            </w:r>
          </w:p>
        </w:tc>
      </w:tr>
    </w:tbl>
    <w:p w:rsidR="00E549E2" w:rsidRDefault="00E549E2" w:rsidP="00F4424F">
      <w:pPr>
        <w:pStyle w:val="Body"/>
        <w:rPr>
          <w:rFonts w:ascii="Calibri" w:hAnsi="Calibri" w:cs="Calibri"/>
          <w:sz w:val="24"/>
        </w:rPr>
      </w:pPr>
    </w:p>
    <w:p w:rsidR="00A72212" w:rsidRDefault="00A72212" w:rsidP="00F4424F">
      <w:pPr>
        <w:pStyle w:val="Body"/>
        <w:rPr>
          <w:rFonts w:ascii="Calibri" w:hAnsi="Calibri" w:cs="Calibri"/>
          <w:sz w:val="24"/>
        </w:rPr>
      </w:pPr>
    </w:p>
    <w:p w:rsidR="00E549E2" w:rsidRPr="00E549E2" w:rsidRDefault="00E549E2" w:rsidP="00E549E2">
      <w:pPr>
        <w:pStyle w:val="Heading2"/>
      </w:pPr>
      <w:r w:rsidRPr="00E549E2">
        <w:t xml:space="preserve"> </w:t>
      </w:r>
      <w:bookmarkStart w:id="24" w:name="_Toc512501024"/>
      <w:r w:rsidRPr="00E549E2">
        <w:t>Conformity with the saved policies in the SODC Local Plan 2011</w:t>
      </w:r>
      <w:bookmarkEnd w:id="24"/>
    </w:p>
    <w:p w:rsidR="00E549E2" w:rsidRPr="00E549E2" w:rsidRDefault="00E549E2" w:rsidP="00E549E2">
      <w:pPr>
        <w:pStyle w:val="Body"/>
        <w:rPr>
          <w:rFonts w:ascii="Calibri" w:hAnsi="Calibri" w:cs="Calibri"/>
          <w:sz w:val="24"/>
        </w:rPr>
      </w:pPr>
      <w:r w:rsidRPr="00E549E2">
        <w:rPr>
          <w:rFonts w:ascii="Calibri" w:hAnsi="Calibri" w:cs="Calibri"/>
          <w:sz w:val="24"/>
        </w:rPr>
        <w:t>The WNDP also complies with relevant saved policies in the Local Plan 2011 regarding the following:</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Protection of the landscape and countryside: G2, G4 and C6.</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Biodiversity:  C6 – C9.</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Conservation Areas, historic buildings and archaeological remains: Con 1 – Con 16.</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Environmental protection: EP1 – EP7.</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Good design: D1 – D5 and D7.</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Housing: H4, H10, H13, H15, H16.</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Recreation: R1, R2, R6 – R8.</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Safeguarding community facilities: CF1 – CF3.</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Employment regarding home workers: E7</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Tourism: TSM1, TSM2.</w:t>
      </w:r>
    </w:p>
    <w:p w:rsidR="00E549E2" w:rsidRPr="00E549E2" w:rsidRDefault="00E549E2" w:rsidP="006D293C">
      <w:pPr>
        <w:pStyle w:val="Body"/>
        <w:numPr>
          <w:ilvl w:val="0"/>
          <w:numId w:val="18"/>
        </w:numPr>
        <w:rPr>
          <w:rFonts w:ascii="Calibri" w:hAnsi="Calibri" w:cs="Calibri"/>
          <w:sz w:val="24"/>
        </w:rPr>
      </w:pPr>
      <w:r w:rsidRPr="00E549E2">
        <w:rPr>
          <w:rFonts w:ascii="Calibri" w:hAnsi="Calibri" w:cs="Calibri"/>
          <w:sz w:val="24"/>
        </w:rPr>
        <w:t>Transport:  T1, T2, T7, T8</w:t>
      </w:r>
    </w:p>
    <w:p w:rsidR="00E549E2" w:rsidRPr="00E549E2" w:rsidRDefault="00E549E2" w:rsidP="00E549E2">
      <w:pPr>
        <w:pStyle w:val="Body"/>
        <w:rPr>
          <w:rFonts w:ascii="Calibri" w:hAnsi="Calibri" w:cs="Calibri"/>
          <w:sz w:val="24"/>
        </w:rPr>
      </w:pPr>
      <w:r w:rsidRPr="00E549E2">
        <w:rPr>
          <w:rFonts w:ascii="Calibri" w:hAnsi="Calibri" w:cs="Calibri"/>
          <w:sz w:val="24"/>
        </w:rPr>
        <w:t xml:space="preserve"> </w:t>
      </w:r>
    </w:p>
    <w:p w:rsidR="00E549E2" w:rsidRPr="00E549E2" w:rsidRDefault="00E549E2" w:rsidP="00E549E2">
      <w:pPr>
        <w:pStyle w:val="Heading2"/>
      </w:pPr>
      <w:r w:rsidRPr="00E549E2">
        <w:tab/>
      </w:r>
      <w:bookmarkStart w:id="25" w:name="_Toc512501025"/>
      <w:r w:rsidRPr="00E549E2">
        <w:t>Conformity with the emerging SODC Local Plan 2033</w:t>
      </w:r>
      <w:bookmarkEnd w:id="25"/>
    </w:p>
    <w:p w:rsidR="007738E6" w:rsidRDefault="00E549E2" w:rsidP="002E79EA">
      <w:r w:rsidRPr="00E549E2">
        <w:t xml:space="preserve"> As the policies for housing development contained in the Core Strategy are out of date, the WNDP conforms to the relevant policies i</w:t>
      </w:r>
      <w:r w:rsidR="00D74C89">
        <w:t>n the emerging SODC</w:t>
      </w:r>
      <w:r w:rsidRPr="00E549E2">
        <w:t xml:space="preserve"> Local Plan 2033</w:t>
      </w:r>
      <w:r w:rsidR="00D74C89">
        <w:t xml:space="preserve"> Publication Version October 2017 (SOLP)</w:t>
      </w:r>
      <w:r w:rsidRPr="00E549E2">
        <w:t xml:space="preserve">. </w:t>
      </w:r>
    </w:p>
    <w:p w:rsidR="0015431D" w:rsidRPr="00BC14E1" w:rsidRDefault="007738E6" w:rsidP="00BC14E1">
      <w:pPr>
        <w:rPr>
          <w:rFonts w:cs="Calibri"/>
          <w:sz w:val="24"/>
          <w:szCs w:val="24"/>
        </w:rPr>
      </w:pPr>
      <w:r w:rsidRPr="00BC14E1">
        <w:rPr>
          <w:szCs w:val="24"/>
        </w:rPr>
        <w:t>Watlington is identified by SODC as a ‘larger village’ and is named in The Overall Strategy of the SOLP, Policy STRAT1. This policy includes supporting and enhancing the role of the larger villages as local service centres as a key component of development in the district.  Policies in the WNDP comply with this and seek to develop the social and economic sustainability of the town to meet the growing needs of Watlington and the surrounding area.   Planned housing growth in the WNDP is in line with SOLP Policy H4 which provides for a minimum of 1,122 homes to be collectively delivered by the larger villages in the district</w:t>
      </w:r>
      <w:r w:rsidRPr="00D74C89">
        <w:rPr>
          <w:szCs w:val="24"/>
        </w:rPr>
        <w:t xml:space="preserve">. </w:t>
      </w:r>
      <w:r w:rsidR="00BC14E1" w:rsidRPr="00D74C89">
        <w:rPr>
          <w:szCs w:val="24"/>
        </w:rPr>
        <w:t xml:space="preserve">This contributes to the objectively assessed housing needs of the district. </w:t>
      </w:r>
      <w:r w:rsidRPr="00D74C89">
        <w:rPr>
          <w:szCs w:val="24"/>
        </w:rPr>
        <w:t xml:space="preserve">SOLP Table 5g shows that a 15% growth </w:t>
      </w:r>
      <w:r w:rsidRPr="00BC14E1">
        <w:rPr>
          <w:szCs w:val="24"/>
        </w:rPr>
        <w:t>of dwellings in Watlington is equal to 238 new homes to be provided over the period to 2033.   The WNDP makes provision for a minimum of this number on allocated development sites and also supports specific ad</w:t>
      </w:r>
      <w:r w:rsidR="00BB3A25">
        <w:rPr>
          <w:szCs w:val="24"/>
        </w:rPr>
        <w:t>ditional development for extra c</w:t>
      </w:r>
      <w:r w:rsidRPr="00BC14E1">
        <w:rPr>
          <w:szCs w:val="24"/>
        </w:rPr>
        <w:t xml:space="preserve">are provision for older people, staff accommodation at the Watlington and District Nursing Home, additional park homes and rural exception sites to come forward during the period of the Plan.  It is expected that the potential housing allocation for Watlington indicated in the SOLP of between 200 and 400 will be met as the sites identified in the WNDP are available for development and are deliverable during the period of the Plan.    </w:t>
      </w:r>
    </w:p>
    <w:p w:rsidR="00E549E2" w:rsidRDefault="00A72212" w:rsidP="007473C4">
      <w:pPr>
        <w:pStyle w:val="TableHeadings"/>
        <w:rPr>
          <w:rFonts w:eastAsia="Times New Roman"/>
        </w:rPr>
      </w:pPr>
      <w:r w:rsidRPr="00A72212">
        <w:rPr>
          <w:rFonts w:eastAsia="Times New Roman"/>
        </w:rPr>
        <w:t xml:space="preserve"> </w:t>
      </w:r>
      <w:bookmarkStart w:id="26" w:name="_Toc512501034"/>
      <w:r w:rsidR="00226F2A">
        <w:t xml:space="preserve">Table </w:t>
      </w:r>
      <w:r w:rsidR="00226F2A">
        <w:fldChar w:fldCharType="begin"/>
      </w:r>
      <w:r w:rsidR="00226F2A">
        <w:instrText xml:space="preserve"> SEQ Table \* ARABIC </w:instrText>
      </w:r>
      <w:r w:rsidR="00226F2A">
        <w:fldChar w:fldCharType="separate"/>
      </w:r>
      <w:r w:rsidR="00651451">
        <w:rPr>
          <w:noProof/>
        </w:rPr>
        <w:t>3</w:t>
      </w:r>
      <w:r w:rsidR="00226F2A">
        <w:fldChar w:fldCharType="end"/>
      </w:r>
      <w:r w:rsidR="00226F2A">
        <w:t>:</w:t>
      </w:r>
      <w:r w:rsidR="00226F2A" w:rsidRPr="00226F2A">
        <w:rPr>
          <w:rFonts w:eastAsia="Times New Roman"/>
        </w:rPr>
        <w:t xml:space="preserve"> Conformity with the emerging South Oxfordshire Local Plan 2033</w:t>
      </w:r>
      <w:bookmarkEnd w:id="26"/>
    </w:p>
    <w:p w:rsidR="002E79EA" w:rsidRPr="00E549E2" w:rsidRDefault="002E79EA" w:rsidP="007473C4">
      <w:pPr>
        <w:pStyle w:val="TableHeadings"/>
      </w:pPr>
    </w:p>
    <w:tbl>
      <w:tblPr>
        <w:tblStyle w:val="TableGrid"/>
        <w:tblW w:w="0" w:type="auto"/>
        <w:tblLayout w:type="fixed"/>
        <w:tblLook w:val="04A0" w:firstRow="1" w:lastRow="0" w:firstColumn="1" w:lastColumn="0" w:noHBand="0" w:noVBand="1"/>
      </w:tblPr>
      <w:tblGrid>
        <w:gridCol w:w="1137"/>
        <w:gridCol w:w="2126"/>
        <w:gridCol w:w="1127"/>
        <w:gridCol w:w="5103"/>
      </w:tblGrid>
      <w:tr w:rsidR="00753A16" w:rsidRPr="00753A16" w:rsidTr="00694D2F">
        <w:tc>
          <w:tcPr>
            <w:tcW w:w="1137" w:type="dxa"/>
            <w:shd w:val="clear" w:color="auto" w:fill="336600"/>
          </w:tcPr>
          <w:p w:rsidR="00A72212" w:rsidRPr="00753A16" w:rsidRDefault="00A72212" w:rsidP="00AF3EAE">
            <w:pPr>
              <w:rPr>
                <w:b/>
                <w:color w:val="FFFFFF" w:themeColor="background1"/>
              </w:rPr>
            </w:pPr>
            <w:r w:rsidRPr="00753A16">
              <w:rPr>
                <w:b/>
                <w:color w:val="FFFFFF" w:themeColor="background1"/>
              </w:rPr>
              <w:t>WNDP Policy number</w:t>
            </w:r>
          </w:p>
          <w:p w:rsidR="00A72212" w:rsidRPr="00753A16" w:rsidRDefault="00A72212" w:rsidP="00AF3EAE">
            <w:pPr>
              <w:rPr>
                <w:b/>
                <w:color w:val="FFFFFF" w:themeColor="background1"/>
              </w:rPr>
            </w:pPr>
          </w:p>
        </w:tc>
        <w:tc>
          <w:tcPr>
            <w:tcW w:w="2126" w:type="dxa"/>
            <w:shd w:val="clear" w:color="auto" w:fill="336600"/>
          </w:tcPr>
          <w:p w:rsidR="00A72212" w:rsidRPr="00753A16" w:rsidRDefault="00A72212" w:rsidP="00AF3EAE">
            <w:pPr>
              <w:rPr>
                <w:b/>
                <w:color w:val="FFFFFF" w:themeColor="background1"/>
              </w:rPr>
            </w:pPr>
            <w:r w:rsidRPr="00753A16">
              <w:rPr>
                <w:b/>
                <w:color w:val="FFFFFF" w:themeColor="background1"/>
              </w:rPr>
              <w:t>Policy</w:t>
            </w:r>
          </w:p>
        </w:tc>
        <w:tc>
          <w:tcPr>
            <w:tcW w:w="1127" w:type="dxa"/>
            <w:shd w:val="clear" w:color="auto" w:fill="336600"/>
          </w:tcPr>
          <w:p w:rsidR="00A72212" w:rsidRPr="00753A16" w:rsidRDefault="00A72212" w:rsidP="00AF3EAE">
            <w:pPr>
              <w:rPr>
                <w:b/>
                <w:color w:val="FFFFFF" w:themeColor="background1"/>
              </w:rPr>
            </w:pPr>
            <w:r w:rsidRPr="00753A16">
              <w:rPr>
                <w:b/>
                <w:color w:val="FFFFFF" w:themeColor="background1"/>
              </w:rPr>
              <w:t xml:space="preserve">SODC emerging Local Plan </w:t>
            </w:r>
          </w:p>
          <w:p w:rsidR="00A72212" w:rsidRPr="00753A16" w:rsidRDefault="00A72212" w:rsidP="00AF3EAE">
            <w:pPr>
              <w:rPr>
                <w:b/>
                <w:color w:val="FFFFFF" w:themeColor="background1"/>
              </w:rPr>
            </w:pPr>
            <w:r w:rsidRPr="00753A16">
              <w:rPr>
                <w:b/>
                <w:color w:val="FFFFFF" w:themeColor="background1"/>
              </w:rPr>
              <w:t>(LP) policies</w:t>
            </w:r>
          </w:p>
        </w:tc>
        <w:tc>
          <w:tcPr>
            <w:tcW w:w="5103" w:type="dxa"/>
            <w:shd w:val="clear" w:color="auto" w:fill="336600"/>
          </w:tcPr>
          <w:p w:rsidR="00A72212" w:rsidRPr="00753A16" w:rsidRDefault="00A72212" w:rsidP="00AF3EAE">
            <w:pPr>
              <w:rPr>
                <w:b/>
                <w:color w:val="FFFFFF" w:themeColor="background1"/>
              </w:rPr>
            </w:pPr>
            <w:r w:rsidRPr="00753A16">
              <w:rPr>
                <w:b/>
                <w:color w:val="FFFFFF" w:themeColor="background1"/>
              </w:rPr>
              <w:t>Commentary</w:t>
            </w:r>
          </w:p>
        </w:tc>
      </w:tr>
      <w:tr w:rsidR="00A72212" w:rsidTr="00694D2F">
        <w:tc>
          <w:tcPr>
            <w:tcW w:w="1137" w:type="dxa"/>
          </w:tcPr>
          <w:p w:rsidR="00A72212" w:rsidRDefault="00A72212" w:rsidP="00AF3EAE">
            <w:r>
              <w:t>P1</w:t>
            </w:r>
          </w:p>
          <w:p w:rsidR="00A72212" w:rsidRDefault="00A72212" w:rsidP="00AF3EAE"/>
        </w:tc>
        <w:tc>
          <w:tcPr>
            <w:tcW w:w="2126" w:type="dxa"/>
          </w:tcPr>
          <w:p w:rsidR="00A72212" w:rsidRDefault="00A72212" w:rsidP="00AF3EAE">
            <w:r>
              <w:t>Protect and enhance the character of Watlington and the historic setting of the town</w:t>
            </w:r>
          </w:p>
        </w:tc>
        <w:tc>
          <w:tcPr>
            <w:tcW w:w="1127" w:type="dxa"/>
          </w:tcPr>
          <w:p w:rsidR="00A72212" w:rsidRDefault="00A72212" w:rsidP="005F39A5">
            <w:r>
              <w:t xml:space="preserve">ENV1, ENV6, </w:t>
            </w:r>
            <w:r w:rsidR="005F39A5">
              <w:t xml:space="preserve">ENV 7, ENV 8, </w:t>
            </w:r>
            <w:r>
              <w:t>ENV9, DES1, DES2</w:t>
            </w:r>
          </w:p>
        </w:tc>
        <w:tc>
          <w:tcPr>
            <w:tcW w:w="5103" w:type="dxa"/>
          </w:tcPr>
          <w:p w:rsidR="00A72212" w:rsidRDefault="00A72212" w:rsidP="00AF3EAE">
            <w:r>
              <w:t xml:space="preserve">This policy complies with Local Plan (LP) policies for landscape, the countryside and the attractive landscape setting of settlements. The policy provides a local context for LP policies for the historic environment, Conservation Areas and for archaeological remains. It complies with LP policies for design, especially in its aim to ensure that design is locally distinctive and enhances local character.  </w:t>
            </w:r>
          </w:p>
        </w:tc>
      </w:tr>
      <w:tr w:rsidR="00A72212" w:rsidTr="00694D2F">
        <w:tc>
          <w:tcPr>
            <w:tcW w:w="1137" w:type="dxa"/>
          </w:tcPr>
          <w:p w:rsidR="00A72212" w:rsidRDefault="00A72212" w:rsidP="00AF3EAE">
            <w:r>
              <w:t>P2</w:t>
            </w:r>
          </w:p>
        </w:tc>
        <w:tc>
          <w:tcPr>
            <w:tcW w:w="2126" w:type="dxa"/>
          </w:tcPr>
          <w:p w:rsidR="00A72212" w:rsidRDefault="00A72212" w:rsidP="00AF3EAE">
            <w:r>
              <w:t>Transport</w:t>
            </w:r>
          </w:p>
          <w:p w:rsidR="00A72212" w:rsidRDefault="00A72212" w:rsidP="00AF3EAE"/>
        </w:tc>
        <w:tc>
          <w:tcPr>
            <w:tcW w:w="1127" w:type="dxa"/>
          </w:tcPr>
          <w:p w:rsidR="00A72212" w:rsidRDefault="00A72212" w:rsidP="00AF3EAE">
            <w:r>
              <w:t>TRANS1, TRANS3, EP1</w:t>
            </w:r>
          </w:p>
        </w:tc>
        <w:tc>
          <w:tcPr>
            <w:tcW w:w="5103" w:type="dxa"/>
          </w:tcPr>
          <w:p w:rsidR="00A72212" w:rsidRDefault="00A72212" w:rsidP="00AF3EAE">
            <w:r>
              <w:t xml:space="preserve">This policy complies with LP policies for the delivery of safeguarded transport improvements to help deliver the development required in the plan period and beyond. In particular, it complies with the policy to safeguard land for strategic transport schemes which include a bypass for Watlington. It also complies with policy EP1 which seeks to protect public health from the impacts of poor air quality. </w:t>
            </w:r>
          </w:p>
          <w:p w:rsidR="00B75F21" w:rsidRDefault="00B75F21" w:rsidP="00AF3EAE"/>
          <w:p w:rsidR="00B75F21" w:rsidRDefault="00B75F21" w:rsidP="00AF3EAE"/>
        </w:tc>
      </w:tr>
      <w:tr w:rsidR="00694D2F" w:rsidRPr="00753A16" w:rsidTr="00694D2F">
        <w:tc>
          <w:tcPr>
            <w:tcW w:w="1137" w:type="dxa"/>
            <w:shd w:val="clear" w:color="auto" w:fill="336600"/>
          </w:tcPr>
          <w:p w:rsidR="00694D2F" w:rsidRPr="00753A16" w:rsidRDefault="00694D2F" w:rsidP="00D0021D">
            <w:pPr>
              <w:rPr>
                <w:b/>
                <w:color w:val="FFFFFF" w:themeColor="background1"/>
              </w:rPr>
            </w:pPr>
            <w:r w:rsidRPr="00753A16">
              <w:rPr>
                <w:b/>
                <w:color w:val="FFFFFF" w:themeColor="background1"/>
              </w:rPr>
              <w:t>WNDP Policy number</w:t>
            </w:r>
          </w:p>
          <w:p w:rsidR="00694D2F" w:rsidRPr="00753A16" w:rsidRDefault="00694D2F" w:rsidP="00D0021D">
            <w:pPr>
              <w:rPr>
                <w:b/>
                <w:color w:val="FFFFFF" w:themeColor="background1"/>
              </w:rPr>
            </w:pPr>
          </w:p>
        </w:tc>
        <w:tc>
          <w:tcPr>
            <w:tcW w:w="2126" w:type="dxa"/>
            <w:shd w:val="clear" w:color="auto" w:fill="336600"/>
          </w:tcPr>
          <w:p w:rsidR="00694D2F" w:rsidRPr="00753A16" w:rsidRDefault="00694D2F" w:rsidP="00D0021D">
            <w:pPr>
              <w:rPr>
                <w:b/>
                <w:color w:val="FFFFFF" w:themeColor="background1"/>
              </w:rPr>
            </w:pPr>
            <w:r w:rsidRPr="00753A16">
              <w:rPr>
                <w:b/>
                <w:color w:val="FFFFFF" w:themeColor="background1"/>
              </w:rPr>
              <w:t>Policy</w:t>
            </w:r>
          </w:p>
        </w:tc>
        <w:tc>
          <w:tcPr>
            <w:tcW w:w="1127" w:type="dxa"/>
            <w:shd w:val="clear" w:color="auto" w:fill="336600"/>
          </w:tcPr>
          <w:p w:rsidR="00694D2F" w:rsidRPr="00753A16" w:rsidRDefault="00694D2F" w:rsidP="00D0021D">
            <w:pPr>
              <w:rPr>
                <w:b/>
                <w:color w:val="FFFFFF" w:themeColor="background1"/>
              </w:rPr>
            </w:pPr>
            <w:r w:rsidRPr="00753A16">
              <w:rPr>
                <w:b/>
                <w:color w:val="FFFFFF" w:themeColor="background1"/>
              </w:rPr>
              <w:t xml:space="preserve">SODC emerging Local Plan </w:t>
            </w:r>
          </w:p>
          <w:p w:rsidR="00694D2F" w:rsidRPr="00753A16" w:rsidRDefault="00694D2F" w:rsidP="00D0021D">
            <w:pPr>
              <w:rPr>
                <w:b/>
                <w:color w:val="FFFFFF" w:themeColor="background1"/>
              </w:rPr>
            </w:pPr>
            <w:r w:rsidRPr="00753A16">
              <w:rPr>
                <w:b/>
                <w:color w:val="FFFFFF" w:themeColor="background1"/>
              </w:rPr>
              <w:t>(LP) policies</w:t>
            </w:r>
          </w:p>
        </w:tc>
        <w:tc>
          <w:tcPr>
            <w:tcW w:w="5103" w:type="dxa"/>
            <w:shd w:val="clear" w:color="auto" w:fill="336600"/>
          </w:tcPr>
          <w:p w:rsidR="00694D2F" w:rsidRPr="00753A16" w:rsidRDefault="00694D2F" w:rsidP="00D0021D">
            <w:pPr>
              <w:rPr>
                <w:b/>
                <w:color w:val="FFFFFF" w:themeColor="background1"/>
              </w:rPr>
            </w:pPr>
            <w:r w:rsidRPr="00753A16">
              <w:rPr>
                <w:b/>
                <w:color w:val="FFFFFF" w:themeColor="background1"/>
              </w:rPr>
              <w:t>Commentary</w:t>
            </w:r>
          </w:p>
        </w:tc>
      </w:tr>
      <w:tr w:rsidR="00A72212" w:rsidTr="00694D2F">
        <w:tc>
          <w:tcPr>
            <w:tcW w:w="1137" w:type="dxa"/>
          </w:tcPr>
          <w:p w:rsidR="00A72212" w:rsidRDefault="00A72212" w:rsidP="00AF3EAE">
            <w:r>
              <w:t>P3</w:t>
            </w:r>
          </w:p>
        </w:tc>
        <w:tc>
          <w:tcPr>
            <w:tcW w:w="2126" w:type="dxa"/>
          </w:tcPr>
          <w:p w:rsidR="00A72212" w:rsidRDefault="00A72212" w:rsidP="00AF3EAE">
            <w:r>
              <w:t>Conserve and enhance the natural environment</w:t>
            </w:r>
          </w:p>
        </w:tc>
        <w:tc>
          <w:tcPr>
            <w:tcW w:w="1127" w:type="dxa"/>
          </w:tcPr>
          <w:p w:rsidR="00A72212" w:rsidRDefault="005F39A5" w:rsidP="00AF3EAE">
            <w:r>
              <w:t>ENV1,</w:t>
            </w:r>
            <w:r w:rsidR="001F07B1">
              <w:t xml:space="preserve"> </w:t>
            </w:r>
            <w:r w:rsidR="00A72212">
              <w:t xml:space="preserve">ENV2, ENV3, ENV4 </w:t>
            </w:r>
          </w:p>
        </w:tc>
        <w:tc>
          <w:tcPr>
            <w:tcW w:w="5103" w:type="dxa"/>
          </w:tcPr>
          <w:p w:rsidR="00A72212" w:rsidRDefault="00A72212" w:rsidP="00AF3EAE">
            <w:r>
              <w:t xml:space="preserve">This policy complies with LP policies on biodiversity and seeks to achieve a net gain in biodiversity as a result of development. It also provides a local context for the policy on watercourses. </w:t>
            </w:r>
          </w:p>
        </w:tc>
      </w:tr>
      <w:tr w:rsidR="00A72212" w:rsidTr="00694D2F">
        <w:tc>
          <w:tcPr>
            <w:tcW w:w="1137" w:type="dxa"/>
          </w:tcPr>
          <w:p w:rsidR="00A72212" w:rsidRDefault="00A72212" w:rsidP="00AF3EAE">
            <w:r>
              <w:t>P4</w:t>
            </w:r>
          </w:p>
        </w:tc>
        <w:tc>
          <w:tcPr>
            <w:tcW w:w="2126" w:type="dxa"/>
          </w:tcPr>
          <w:p w:rsidR="00A72212" w:rsidRDefault="00A72212" w:rsidP="00AF3EAE">
            <w:r>
              <w:t>Green spaces</w:t>
            </w:r>
          </w:p>
        </w:tc>
        <w:tc>
          <w:tcPr>
            <w:tcW w:w="1127" w:type="dxa"/>
          </w:tcPr>
          <w:p w:rsidR="00A72212" w:rsidRDefault="00A72212" w:rsidP="00AF3EAE">
            <w:r>
              <w:t>ENV5, DES5, CF3, CF4, CF5</w:t>
            </w:r>
          </w:p>
        </w:tc>
        <w:tc>
          <w:tcPr>
            <w:tcW w:w="5103" w:type="dxa"/>
          </w:tcPr>
          <w:p w:rsidR="00A72212" w:rsidRDefault="00A72212" w:rsidP="00AF3EAE">
            <w:r>
              <w:t>This policy complies with LP policies for green infrastructure. It seeks to provide outdoor amenity spaces on new development and to protect existing open spaces.</w:t>
            </w:r>
          </w:p>
        </w:tc>
      </w:tr>
      <w:tr w:rsidR="00A72212" w:rsidTr="00694D2F">
        <w:tc>
          <w:tcPr>
            <w:tcW w:w="1137" w:type="dxa"/>
          </w:tcPr>
          <w:p w:rsidR="00A72212" w:rsidRDefault="00A72212" w:rsidP="00AF3EAE">
            <w:r>
              <w:t>P5</w:t>
            </w:r>
          </w:p>
        </w:tc>
        <w:tc>
          <w:tcPr>
            <w:tcW w:w="2126" w:type="dxa"/>
          </w:tcPr>
          <w:p w:rsidR="00A72212" w:rsidRDefault="00A72212" w:rsidP="00AF3EAE">
            <w:r>
              <w:t>New housing development</w:t>
            </w:r>
          </w:p>
        </w:tc>
        <w:tc>
          <w:tcPr>
            <w:tcW w:w="1127" w:type="dxa"/>
          </w:tcPr>
          <w:p w:rsidR="005F39A5" w:rsidRDefault="005F39A5" w:rsidP="00AF3EAE">
            <w:r>
              <w:t>H1,</w:t>
            </w:r>
            <w:r w:rsidR="001F07B1">
              <w:t>H9</w:t>
            </w:r>
            <w:r>
              <w:t>,</w:t>
            </w:r>
          </w:p>
          <w:p w:rsidR="005F39A5" w:rsidRDefault="00A72212" w:rsidP="005F39A5">
            <w:r>
              <w:t xml:space="preserve">H11, </w:t>
            </w:r>
            <w:r w:rsidR="001F07B1">
              <w:t>H12</w:t>
            </w:r>
            <w:r w:rsidR="005F39A5">
              <w:t>,</w:t>
            </w:r>
          </w:p>
          <w:p w:rsidR="005F39A5" w:rsidRDefault="00A72212" w:rsidP="005F39A5">
            <w:r>
              <w:t xml:space="preserve">TRANS2, </w:t>
            </w:r>
          </w:p>
          <w:p w:rsidR="005F39A5" w:rsidRDefault="005F39A5" w:rsidP="005F39A5">
            <w:r>
              <w:t>TRANS5,</w:t>
            </w:r>
          </w:p>
          <w:p w:rsidR="00A72212" w:rsidRDefault="00A72212" w:rsidP="005F39A5">
            <w:r>
              <w:t>DES8, DES9</w:t>
            </w:r>
          </w:p>
          <w:p w:rsidR="005F39A5" w:rsidRDefault="005F39A5" w:rsidP="005F39A5">
            <w:r>
              <w:t>DES10</w:t>
            </w:r>
          </w:p>
        </w:tc>
        <w:tc>
          <w:tcPr>
            <w:tcW w:w="5103" w:type="dxa"/>
          </w:tcPr>
          <w:p w:rsidR="00A72212" w:rsidRDefault="00A72212" w:rsidP="00AF3EAE">
            <w:r>
              <w:t>This policy complies with LP policies for housing. It aims to provide 40% affordable homes on sites of 11 or more dwellings, subject to the viability of the provision on each site. It promotes a mix of dwelling types and sizes including plots for self-build. It encourages provision for walking and cycling, not only within new development but also to nearby facilities and services.  It also promotes the installation of renewable energy schemes.</w:t>
            </w:r>
          </w:p>
        </w:tc>
      </w:tr>
      <w:tr w:rsidR="00A72212" w:rsidTr="00694D2F">
        <w:tc>
          <w:tcPr>
            <w:tcW w:w="1137" w:type="dxa"/>
          </w:tcPr>
          <w:p w:rsidR="00A72212" w:rsidRDefault="00A72212" w:rsidP="00AF3EAE">
            <w:r>
              <w:t>P6</w:t>
            </w:r>
          </w:p>
        </w:tc>
        <w:tc>
          <w:tcPr>
            <w:tcW w:w="2126" w:type="dxa"/>
          </w:tcPr>
          <w:p w:rsidR="00A72212" w:rsidRDefault="00A72212" w:rsidP="00AF3EAE">
            <w:r>
              <w:t>Enhancing Watlington as a service centre</w:t>
            </w:r>
          </w:p>
        </w:tc>
        <w:tc>
          <w:tcPr>
            <w:tcW w:w="1127" w:type="dxa"/>
          </w:tcPr>
          <w:p w:rsidR="005F39A5" w:rsidRDefault="005F39A5" w:rsidP="00AF3EAE">
            <w:r>
              <w:t>STRAT1,</w:t>
            </w:r>
          </w:p>
          <w:p w:rsidR="005F39A5" w:rsidRDefault="001F07B1" w:rsidP="00AF3EAE">
            <w:r>
              <w:t>EMP11</w:t>
            </w:r>
            <w:r w:rsidR="00A72212">
              <w:t>,</w:t>
            </w:r>
          </w:p>
          <w:p w:rsidR="00A72212" w:rsidRDefault="001F07B1" w:rsidP="00AF3EAE">
            <w:r>
              <w:t>EMP12</w:t>
            </w:r>
            <w:r w:rsidR="005F39A5">
              <w:t>, TC1, TC</w:t>
            </w:r>
            <w:r>
              <w:t>3</w:t>
            </w:r>
          </w:p>
        </w:tc>
        <w:tc>
          <w:tcPr>
            <w:tcW w:w="5103" w:type="dxa"/>
          </w:tcPr>
          <w:p w:rsidR="00A72212" w:rsidRDefault="00A72212" w:rsidP="00A04E84">
            <w:r>
              <w:t>This policy complies with LP policies for supporting and enhancing the role of the larger villages as local service centres. It supports sustainable rural tourism which respects the character of the countryside and it promotes the retention and development of services including local shops and public houses.  It aims to retain primary retail f</w:t>
            </w:r>
            <w:r w:rsidR="005F39A5">
              <w:t>rontages in line with policy TC</w:t>
            </w:r>
            <w:r w:rsidR="00A04E84">
              <w:t>3</w:t>
            </w:r>
            <w:r>
              <w:t xml:space="preserve"> in order to ensure the continued economic vitality of the town centre.</w:t>
            </w:r>
          </w:p>
        </w:tc>
      </w:tr>
      <w:tr w:rsidR="00A72212" w:rsidTr="00694D2F">
        <w:tc>
          <w:tcPr>
            <w:tcW w:w="1137" w:type="dxa"/>
          </w:tcPr>
          <w:p w:rsidR="00A72212" w:rsidRDefault="00A72212" w:rsidP="00AF3EAE">
            <w:r>
              <w:t>P7</w:t>
            </w:r>
          </w:p>
        </w:tc>
        <w:tc>
          <w:tcPr>
            <w:tcW w:w="2126" w:type="dxa"/>
          </w:tcPr>
          <w:p w:rsidR="00A72212" w:rsidRDefault="00A72212" w:rsidP="00AF3EAE">
            <w:r>
              <w:t>Employment</w:t>
            </w:r>
          </w:p>
        </w:tc>
        <w:tc>
          <w:tcPr>
            <w:tcW w:w="1127" w:type="dxa"/>
          </w:tcPr>
          <w:p w:rsidR="00A72212" w:rsidRDefault="00A72212" w:rsidP="00AF3EAE">
            <w:r>
              <w:t>EMP2, EMP11</w:t>
            </w:r>
          </w:p>
          <w:p w:rsidR="005F39A5" w:rsidRDefault="005F39A5" w:rsidP="00AF3EAE">
            <w:r>
              <w:t>EMP12</w:t>
            </w:r>
          </w:p>
        </w:tc>
        <w:tc>
          <w:tcPr>
            <w:tcW w:w="5103" w:type="dxa"/>
          </w:tcPr>
          <w:p w:rsidR="00A72212" w:rsidRDefault="00A72212" w:rsidP="00AF3EAE">
            <w:r>
              <w:t xml:space="preserve">This policy complies with LP policies for employment. It makes proposals for premises suitable for small and medium sized businesses and also promotes the diversification of agricultural businesses including local growers and secondary food producers. </w:t>
            </w:r>
          </w:p>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p w:rsidR="00694D2F" w:rsidRDefault="00694D2F" w:rsidP="00AF3EAE"/>
        </w:tc>
      </w:tr>
      <w:tr w:rsidR="00694D2F" w:rsidRPr="00753A16" w:rsidTr="00694D2F">
        <w:tc>
          <w:tcPr>
            <w:tcW w:w="1137" w:type="dxa"/>
            <w:shd w:val="clear" w:color="auto" w:fill="336600"/>
          </w:tcPr>
          <w:p w:rsidR="00694D2F" w:rsidRPr="00753A16" w:rsidRDefault="00694D2F" w:rsidP="00D0021D">
            <w:pPr>
              <w:rPr>
                <w:b/>
                <w:color w:val="FFFFFF" w:themeColor="background1"/>
              </w:rPr>
            </w:pPr>
            <w:r w:rsidRPr="00753A16">
              <w:rPr>
                <w:b/>
                <w:color w:val="FFFFFF" w:themeColor="background1"/>
              </w:rPr>
              <w:t>WNDP Policy number</w:t>
            </w:r>
          </w:p>
          <w:p w:rsidR="00694D2F" w:rsidRPr="00753A16" w:rsidRDefault="00694D2F" w:rsidP="00D0021D">
            <w:pPr>
              <w:rPr>
                <w:b/>
                <w:color w:val="FFFFFF" w:themeColor="background1"/>
              </w:rPr>
            </w:pPr>
          </w:p>
        </w:tc>
        <w:tc>
          <w:tcPr>
            <w:tcW w:w="2126" w:type="dxa"/>
            <w:shd w:val="clear" w:color="auto" w:fill="336600"/>
          </w:tcPr>
          <w:p w:rsidR="00694D2F" w:rsidRPr="00753A16" w:rsidRDefault="00694D2F" w:rsidP="00D0021D">
            <w:pPr>
              <w:rPr>
                <w:b/>
                <w:color w:val="FFFFFF" w:themeColor="background1"/>
              </w:rPr>
            </w:pPr>
            <w:r w:rsidRPr="00753A16">
              <w:rPr>
                <w:b/>
                <w:color w:val="FFFFFF" w:themeColor="background1"/>
              </w:rPr>
              <w:t>Policy</w:t>
            </w:r>
          </w:p>
        </w:tc>
        <w:tc>
          <w:tcPr>
            <w:tcW w:w="1127" w:type="dxa"/>
            <w:shd w:val="clear" w:color="auto" w:fill="336600"/>
          </w:tcPr>
          <w:p w:rsidR="00694D2F" w:rsidRPr="00753A16" w:rsidRDefault="00694D2F" w:rsidP="00D0021D">
            <w:pPr>
              <w:rPr>
                <w:b/>
                <w:color w:val="FFFFFF" w:themeColor="background1"/>
              </w:rPr>
            </w:pPr>
            <w:r w:rsidRPr="00753A16">
              <w:rPr>
                <w:b/>
                <w:color w:val="FFFFFF" w:themeColor="background1"/>
              </w:rPr>
              <w:t xml:space="preserve">SODC emerging Local Plan </w:t>
            </w:r>
          </w:p>
          <w:p w:rsidR="00694D2F" w:rsidRPr="00753A16" w:rsidRDefault="00694D2F" w:rsidP="00D0021D">
            <w:pPr>
              <w:rPr>
                <w:b/>
                <w:color w:val="FFFFFF" w:themeColor="background1"/>
              </w:rPr>
            </w:pPr>
            <w:r w:rsidRPr="00753A16">
              <w:rPr>
                <w:b/>
                <w:color w:val="FFFFFF" w:themeColor="background1"/>
              </w:rPr>
              <w:t>(LP) policies</w:t>
            </w:r>
          </w:p>
        </w:tc>
        <w:tc>
          <w:tcPr>
            <w:tcW w:w="5103" w:type="dxa"/>
            <w:shd w:val="clear" w:color="auto" w:fill="336600"/>
          </w:tcPr>
          <w:p w:rsidR="00694D2F" w:rsidRPr="00753A16" w:rsidRDefault="00694D2F" w:rsidP="00D0021D">
            <w:pPr>
              <w:rPr>
                <w:b/>
                <w:color w:val="FFFFFF" w:themeColor="background1"/>
              </w:rPr>
            </w:pPr>
            <w:r w:rsidRPr="00753A16">
              <w:rPr>
                <w:b/>
                <w:color w:val="FFFFFF" w:themeColor="background1"/>
              </w:rPr>
              <w:t>Commentary</w:t>
            </w:r>
          </w:p>
        </w:tc>
      </w:tr>
      <w:tr w:rsidR="00A72212" w:rsidTr="00694D2F">
        <w:tc>
          <w:tcPr>
            <w:tcW w:w="1137" w:type="dxa"/>
          </w:tcPr>
          <w:p w:rsidR="00A72212" w:rsidRDefault="00A72212" w:rsidP="00AF3EAE">
            <w:r>
              <w:t>P8</w:t>
            </w:r>
          </w:p>
        </w:tc>
        <w:tc>
          <w:tcPr>
            <w:tcW w:w="2126" w:type="dxa"/>
          </w:tcPr>
          <w:p w:rsidR="00A72212" w:rsidRDefault="00A72212" w:rsidP="00AF3EAE">
            <w:r>
              <w:t>Physical and social infrastructure</w:t>
            </w:r>
          </w:p>
        </w:tc>
        <w:tc>
          <w:tcPr>
            <w:tcW w:w="1127" w:type="dxa"/>
          </w:tcPr>
          <w:p w:rsidR="005F39A5" w:rsidRDefault="00A72212" w:rsidP="00AF3EAE">
            <w:r>
              <w:t xml:space="preserve">INF1, </w:t>
            </w:r>
          </w:p>
          <w:p w:rsidR="00A72212" w:rsidRDefault="00A72212" w:rsidP="005F39A5">
            <w:r>
              <w:t>INF2, TRANS2, TRANS5,   CF2</w:t>
            </w:r>
            <w:r w:rsidR="005F39A5">
              <w:t>, CF3,</w:t>
            </w:r>
          </w:p>
          <w:p w:rsidR="005F39A5" w:rsidRDefault="005F39A5" w:rsidP="005F39A5">
            <w:r>
              <w:t>CF5</w:t>
            </w:r>
          </w:p>
        </w:tc>
        <w:tc>
          <w:tcPr>
            <w:tcW w:w="5103" w:type="dxa"/>
          </w:tcPr>
          <w:p w:rsidR="00A72212" w:rsidRDefault="00A72212" w:rsidP="00AF3EAE">
            <w:r>
              <w:t>This policy complies with several LP policies including infrastructure, transport and community facilities.  It promotes the retention and development of community facilities including meeting places and sports venues. It identifies infrastructure to meet the needs of new development and to mitigate the impact of development.  It requires the provision of safe and convenient routes for cyclists and pedestrians and encourages rural transport initiatives. It also complies with communications proposals in policy INF2 for superfast broadband.</w:t>
            </w:r>
          </w:p>
        </w:tc>
      </w:tr>
      <w:tr w:rsidR="00A72212" w:rsidTr="00694D2F">
        <w:tc>
          <w:tcPr>
            <w:tcW w:w="1137" w:type="dxa"/>
          </w:tcPr>
          <w:p w:rsidR="00A72212" w:rsidRDefault="00A72212" w:rsidP="00AF3EAE">
            <w:r>
              <w:t>Site A</w:t>
            </w:r>
          </w:p>
          <w:p w:rsidR="00A72212" w:rsidRDefault="00A72212" w:rsidP="00AF3EAE">
            <w:r>
              <w:t>Site B</w:t>
            </w:r>
          </w:p>
          <w:p w:rsidR="00A72212" w:rsidRDefault="00A72212" w:rsidP="00AF3EAE">
            <w:r>
              <w:t>Site C</w:t>
            </w:r>
          </w:p>
          <w:p w:rsidR="00A72212" w:rsidRDefault="00A72212" w:rsidP="00AF3EAE"/>
        </w:tc>
        <w:tc>
          <w:tcPr>
            <w:tcW w:w="2126" w:type="dxa"/>
          </w:tcPr>
          <w:p w:rsidR="00A72212" w:rsidRDefault="00A72212" w:rsidP="00AF3EAE">
            <w:r>
              <w:t>Watlington Housing Policies</w:t>
            </w:r>
          </w:p>
        </w:tc>
        <w:tc>
          <w:tcPr>
            <w:tcW w:w="1127" w:type="dxa"/>
          </w:tcPr>
          <w:p w:rsidR="00A72212" w:rsidRDefault="00A72212" w:rsidP="00AF3EAE">
            <w:r>
              <w:t>H1,H4,</w:t>
            </w:r>
          </w:p>
          <w:p w:rsidR="00A72212" w:rsidRDefault="00A72212" w:rsidP="00AF3EAE"/>
        </w:tc>
        <w:tc>
          <w:tcPr>
            <w:tcW w:w="5103" w:type="dxa"/>
          </w:tcPr>
          <w:p w:rsidR="00A72212" w:rsidRDefault="00A72212" w:rsidP="00AF3EAE">
            <w:r>
              <w:t xml:space="preserve">These policies relate to LP policies which give approval for sites identified for new homes in Neighbourhood Development Plans. These WNDP policies are derived from policies P1, P2, P3, P4, P5, P7 (Site A only) and P8 and also comply with the LP policies identified above.  </w:t>
            </w:r>
          </w:p>
        </w:tc>
      </w:tr>
    </w:tbl>
    <w:p w:rsidR="00F4424F" w:rsidRPr="00E549E2" w:rsidRDefault="00F4424F" w:rsidP="00E549E2">
      <w:pPr>
        <w:pStyle w:val="Heading1"/>
        <w:rPr>
          <w:rFonts w:cs="Calibri"/>
          <w:bCs/>
        </w:rPr>
      </w:pPr>
      <w:bookmarkStart w:id="27" w:name="_Toc512501026"/>
      <w:r w:rsidRPr="00E549E2">
        <w:rPr>
          <w:caps/>
        </w:rPr>
        <w:t xml:space="preserve">conformity </w:t>
      </w:r>
      <w:r w:rsidR="00E549E2">
        <w:rPr>
          <w:caps/>
        </w:rPr>
        <w:t>with EU obligations</w:t>
      </w:r>
      <w:bookmarkEnd w:id="27"/>
    </w:p>
    <w:p w:rsidR="00F4424F" w:rsidRDefault="000D6919" w:rsidP="000D6919">
      <w:pPr>
        <w:pStyle w:val="Heading2"/>
      </w:pPr>
      <w:bookmarkStart w:id="28" w:name="_Toc512501027"/>
      <w:r>
        <w:t>European Convention on Human Rights</w:t>
      </w:r>
      <w:r w:rsidR="00A72212">
        <w:t xml:space="preserve"> (ECHR)</w:t>
      </w:r>
      <w:bookmarkEnd w:id="28"/>
    </w:p>
    <w:p w:rsidR="000D6919" w:rsidRPr="000D6919" w:rsidRDefault="000D6919" w:rsidP="002E79EA">
      <w:r w:rsidRPr="000D6919">
        <w:t>Neighbourhood Development Plans are required to have been produced in conformity with, and not to breach, the ECHR, which has been incorporated into UK law through the Human Rights Act 1998.</w:t>
      </w:r>
    </w:p>
    <w:p w:rsidR="000D6919" w:rsidRPr="000D6919" w:rsidRDefault="000D6919" w:rsidP="002E79EA">
      <w:r w:rsidRPr="000D6919">
        <w:t>‘Convention Rights’, as they are known, are widely drawn, but the ones most related to town and country planning - and hence to NDPs - are set out in the Convention’s Article 6(1), Article 8, Article 14 and the First Protocol Article 1.</w:t>
      </w:r>
    </w:p>
    <w:p w:rsidR="000D6919" w:rsidRPr="000D6919" w:rsidRDefault="000D6919" w:rsidP="002E79EA">
      <w:pPr>
        <w:rPr>
          <w:b/>
        </w:rPr>
      </w:pPr>
      <w:r w:rsidRPr="000D6919">
        <w:rPr>
          <w:b/>
        </w:rPr>
        <w:t>Article 6(1) - Right to a fair trial.</w:t>
      </w:r>
    </w:p>
    <w:p w:rsidR="000D6919" w:rsidRPr="000D6919" w:rsidRDefault="000D6919" w:rsidP="002E79EA">
      <w:r w:rsidRPr="000D6919">
        <w:t>Watlington NDP has been prepared in a wholly fair and transparent manner. Membership of all bodies and groups involved in preparing the Plan have been published on the WNDP website, which has itself been widely publicised in the local area. All meeting notes have been published on the website in a timely fashion. Relevant meetings of the Watlington Parish Council have been held in public and meeting records placed on its website. Further details can be found in the Co</w:t>
      </w:r>
      <w:r w:rsidR="005F39A5">
        <w:t>nsultation</w:t>
      </w:r>
      <w:r w:rsidRPr="000D6919">
        <w:t xml:space="preserve"> Statement</w:t>
      </w:r>
      <w:r w:rsidR="005F39A5">
        <w:t xml:space="preserve"> (WNDP 3)</w:t>
      </w:r>
      <w:r w:rsidRPr="000D6919">
        <w:t>.</w:t>
      </w:r>
    </w:p>
    <w:p w:rsidR="000D6919" w:rsidRPr="000D6919" w:rsidRDefault="000D6919" w:rsidP="002E79EA">
      <w:pPr>
        <w:rPr>
          <w:b/>
        </w:rPr>
      </w:pPr>
      <w:r w:rsidRPr="000D6919">
        <w:rPr>
          <w:b/>
        </w:rPr>
        <w:t>Article 8 - Right to respect for private and family life.</w:t>
      </w:r>
    </w:p>
    <w:p w:rsidR="000D6919" w:rsidRPr="000D6919" w:rsidRDefault="000D6919" w:rsidP="002E79EA">
      <w:r w:rsidRPr="000D6919">
        <w:t>All 3 major community consultations held in connection with WNDP, and the Watlington Housing Survey 2016, have guaranteed and respected the anonymity of respondents. Additional written comments received by the WNDP team have been anonymised except where permission has been received to do otherwise.</w:t>
      </w:r>
    </w:p>
    <w:p w:rsidR="000D6919" w:rsidRPr="000D6919" w:rsidRDefault="000D6919" w:rsidP="002E79EA">
      <w:pPr>
        <w:rPr>
          <w:b/>
        </w:rPr>
      </w:pPr>
      <w:r w:rsidRPr="000D6919">
        <w:rPr>
          <w:b/>
        </w:rPr>
        <w:t>Article 14 - Prohibition of Discrimination</w:t>
      </w:r>
    </w:p>
    <w:p w:rsidR="000D6919" w:rsidRPr="000D6919" w:rsidRDefault="000D6919" w:rsidP="002E79EA">
      <w:r w:rsidRPr="000D6919">
        <w:t xml:space="preserve">WNDP does not discriminate in any way in respect of the needs of its current and potential future citizens. </w:t>
      </w:r>
      <w:r w:rsidR="00E6437C" w:rsidRPr="000D6919">
        <w:t>Indeed</w:t>
      </w:r>
      <w:r w:rsidRPr="000D6919">
        <w:t xml:space="preserve">, the Plan policies make provision for housing development which should make appropriate provision for all age groups, for people with physical and sensory disabilities, for families with children and for households of different sizes. Watlington is likely to become a more diverse community in future and WNDP respects this. The Watlington </w:t>
      </w:r>
      <w:r w:rsidR="005F39A5">
        <w:t>Traffic Management Strategy (WNDP 13),</w:t>
      </w:r>
      <w:r w:rsidRPr="000D6919">
        <w:t xml:space="preserve"> which accompanies the Plan, is committed to the health, safety and mobility of all sections of the community.</w:t>
      </w:r>
    </w:p>
    <w:p w:rsidR="000D6919" w:rsidRPr="000D6919" w:rsidRDefault="000D6919" w:rsidP="002E79EA">
      <w:pPr>
        <w:rPr>
          <w:b/>
        </w:rPr>
      </w:pPr>
      <w:r w:rsidRPr="000D6919">
        <w:rPr>
          <w:b/>
        </w:rPr>
        <w:t>First Protocol Article 1 - Protection of Property</w:t>
      </w:r>
    </w:p>
    <w:p w:rsidR="000D6919" w:rsidRDefault="000D6919" w:rsidP="002E79EA">
      <w:r w:rsidRPr="000D6919">
        <w:t>Nothing in WNDP breaches or seeks to breach any individual or corporate property rights. Watlington Parish Council is not a primary local authority and has no rights of compulsory purchase or other statutory rights over private property.</w:t>
      </w:r>
    </w:p>
    <w:p w:rsidR="002E79EA" w:rsidRDefault="002E79EA" w:rsidP="002E79EA"/>
    <w:p w:rsidR="002E79EA" w:rsidRDefault="002E79EA" w:rsidP="002E79EA"/>
    <w:p w:rsidR="002E79EA" w:rsidRDefault="002E79EA" w:rsidP="002E79EA"/>
    <w:p w:rsidR="002E79EA" w:rsidRPr="000D6919" w:rsidRDefault="002E79EA" w:rsidP="002E79EA"/>
    <w:p w:rsidR="000D6919" w:rsidRPr="00141C92" w:rsidRDefault="000D6919" w:rsidP="00F4424F">
      <w:pPr>
        <w:pStyle w:val="Body"/>
        <w:rPr>
          <w:rFonts w:ascii="Calibri" w:hAnsi="Calibri" w:cs="Calibri"/>
        </w:rPr>
      </w:pPr>
    </w:p>
    <w:p w:rsidR="000D6919" w:rsidRPr="009F62EF" w:rsidRDefault="000D6919" w:rsidP="00C1367A">
      <w:pPr>
        <w:pStyle w:val="Heading2"/>
      </w:pPr>
      <w:bookmarkStart w:id="29" w:name="_Toc512501028"/>
      <w:r w:rsidRPr="009F62EF">
        <w:t>S</w:t>
      </w:r>
      <w:r w:rsidR="00A15ACE">
        <w:t>trategic</w:t>
      </w:r>
      <w:r w:rsidRPr="009F62EF">
        <w:t xml:space="preserve"> E</w:t>
      </w:r>
      <w:r w:rsidR="00A15ACE">
        <w:t>nvironmental</w:t>
      </w:r>
      <w:r w:rsidRPr="009F62EF">
        <w:t xml:space="preserve"> A</w:t>
      </w:r>
      <w:r w:rsidR="00A15ACE">
        <w:t>ssessment</w:t>
      </w:r>
      <w:r w:rsidRPr="009F62EF">
        <w:t xml:space="preserve"> (SEA)</w:t>
      </w:r>
      <w:bookmarkEnd w:id="29"/>
    </w:p>
    <w:p w:rsidR="00C1367A" w:rsidRDefault="000D6919" w:rsidP="002E79EA">
      <w:r w:rsidRPr="009F62EF">
        <w:t>SODC</w:t>
      </w:r>
      <w:r>
        <w:t xml:space="preserve"> i</w:t>
      </w:r>
      <w:r w:rsidR="00E947C8">
        <w:t>ssued a screening opinion in</w:t>
      </w:r>
      <w:r>
        <w:t xml:space="preserve"> February</w:t>
      </w:r>
      <w:r w:rsidRPr="009F62EF">
        <w:t xml:space="preserve"> 2015 that an SEA would be required as the Watlington NDP is likely to have significant environmental effects and will allocate preferred sites for development.  This is in conformity with the Strategic Environmental Assessment Directive 2001/42/EC transposed into UK law through the Environmental Assessment of Plans and programmes regulations 2004.</w:t>
      </w:r>
      <w:r>
        <w:t xml:space="preserve"> </w:t>
      </w:r>
      <w:r w:rsidRPr="000D6919">
        <w:t>The assessment was incorporated into the Sustainability Appraisal Scoping Report</w:t>
      </w:r>
      <w:r w:rsidR="005F39A5">
        <w:t xml:space="preserve"> (WNDP 5)</w:t>
      </w:r>
      <w:r w:rsidRPr="000D6919">
        <w:t xml:space="preserve"> which was produced and consulted on in January 2017.  Sustainability objectives </w:t>
      </w:r>
      <w:r w:rsidR="00A72212">
        <w:t xml:space="preserve">(Appendix A) </w:t>
      </w:r>
      <w:r w:rsidRPr="000D6919">
        <w:t>developed for the WNDP were cross-checked against SEA Directive issues</w:t>
      </w:r>
      <w:r w:rsidR="00A72212">
        <w:t>. T</w:t>
      </w:r>
      <w:r w:rsidRPr="000D6919">
        <w:t>able</w:t>
      </w:r>
      <w:r w:rsidR="00A72212">
        <w:t xml:space="preserve"> 4</w:t>
      </w:r>
      <w:r w:rsidRPr="000D6919">
        <w:t xml:space="preserve"> is included </w:t>
      </w:r>
      <w:r w:rsidR="00475CC8">
        <w:t xml:space="preserve">in the Sustainability Appraisal with </w:t>
      </w:r>
      <w:r w:rsidRPr="000D6919">
        <w:t>Environmental Report</w:t>
      </w:r>
      <w:r w:rsidR="005F39A5">
        <w:t xml:space="preserve"> (WNDP 4)</w:t>
      </w:r>
      <w:r w:rsidRPr="000D6919">
        <w:t>.  The Report was consulted on as part of the Regulation 14 pre-Submission Consultation (Consultation 3) and some minor additions and changes were made as a result of comments from statutory consultees.</w:t>
      </w:r>
    </w:p>
    <w:p w:rsidR="00226F2A" w:rsidRDefault="007473C4" w:rsidP="007473C4">
      <w:pPr>
        <w:pStyle w:val="Caption"/>
        <w:rPr>
          <w:rFonts w:cs="Calibri"/>
        </w:rPr>
      </w:pPr>
      <w:bookmarkStart w:id="30" w:name="_Toc512501035"/>
      <w:r>
        <w:t xml:space="preserve">Table </w:t>
      </w:r>
      <w:r>
        <w:fldChar w:fldCharType="begin"/>
      </w:r>
      <w:r>
        <w:instrText xml:space="preserve"> SEQ Table \* ARABIC </w:instrText>
      </w:r>
      <w:r>
        <w:fldChar w:fldCharType="separate"/>
      </w:r>
      <w:r w:rsidR="00651451">
        <w:rPr>
          <w:noProof/>
        </w:rPr>
        <w:t>4</w:t>
      </w:r>
      <w:r>
        <w:fldChar w:fldCharType="end"/>
      </w:r>
      <w:r>
        <w:t>: SEA Directive Issue</w:t>
      </w:r>
      <w:r w:rsidR="00AF3EAE">
        <w:t>s</w:t>
      </w:r>
      <w:bookmarkEnd w:id="30"/>
    </w:p>
    <w:p w:rsidR="00226F2A" w:rsidRDefault="00226F2A" w:rsidP="00F4424F">
      <w:pPr>
        <w:pStyle w:val="Body"/>
        <w:rPr>
          <w:rFonts w:ascii="Calibri" w:hAnsi="Calibri" w:cs="Calibri"/>
        </w:rPr>
      </w:pPr>
    </w:p>
    <w:tbl>
      <w:tblPr>
        <w:tblStyle w:val="TableGrid"/>
        <w:tblW w:w="0" w:type="auto"/>
        <w:tblLook w:val="04A0" w:firstRow="1" w:lastRow="0" w:firstColumn="1" w:lastColumn="0" w:noHBand="0" w:noVBand="1"/>
      </w:tblPr>
      <w:tblGrid>
        <w:gridCol w:w="4508"/>
        <w:gridCol w:w="4508"/>
      </w:tblGrid>
      <w:tr w:rsidR="00753A16" w:rsidRPr="00753A16" w:rsidTr="00753A16">
        <w:tc>
          <w:tcPr>
            <w:tcW w:w="4508" w:type="dxa"/>
            <w:tcBorders>
              <w:bottom w:val="single" w:sz="4" w:space="0" w:color="auto"/>
            </w:tcBorders>
            <w:shd w:val="clear" w:color="auto" w:fill="336600"/>
          </w:tcPr>
          <w:p w:rsidR="00C1367A" w:rsidRPr="00753A16" w:rsidRDefault="00C1367A" w:rsidP="00834793">
            <w:pPr>
              <w:autoSpaceDE w:val="0"/>
              <w:autoSpaceDN w:val="0"/>
              <w:adjustRightInd w:val="0"/>
              <w:spacing w:after="120"/>
              <w:rPr>
                <w:rFonts w:ascii="TT10Ao00" w:hAnsi="TT10Ao00" w:cs="TT10Ao00"/>
                <w:color w:val="FFFFFF" w:themeColor="background1"/>
                <w:sz w:val="18"/>
                <w:szCs w:val="18"/>
              </w:rPr>
            </w:pPr>
            <w:r w:rsidRPr="00753A16">
              <w:rPr>
                <w:rFonts w:cs="TT10Ao00"/>
                <w:b/>
                <w:color w:val="FFFFFF" w:themeColor="background1"/>
              </w:rPr>
              <w:t>SEA Directive issue</w:t>
            </w:r>
          </w:p>
        </w:tc>
        <w:tc>
          <w:tcPr>
            <w:tcW w:w="4508" w:type="dxa"/>
            <w:tcBorders>
              <w:bottom w:val="single" w:sz="4" w:space="0" w:color="auto"/>
            </w:tcBorders>
            <w:shd w:val="clear" w:color="auto" w:fill="336600"/>
          </w:tcPr>
          <w:p w:rsidR="00C1367A" w:rsidRPr="00753A16" w:rsidRDefault="00C1367A" w:rsidP="00834793">
            <w:pPr>
              <w:autoSpaceDE w:val="0"/>
              <w:autoSpaceDN w:val="0"/>
              <w:adjustRightInd w:val="0"/>
              <w:spacing w:after="120"/>
              <w:rPr>
                <w:rFonts w:cstheme="minorHAnsi"/>
                <w:b/>
                <w:color w:val="FFFFFF" w:themeColor="background1"/>
              </w:rPr>
            </w:pPr>
            <w:r w:rsidRPr="00753A16">
              <w:rPr>
                <w:rFonts w:cstheme="minorHAnsi"/>
                <w:b/>
                <w:color w:val="FFFFFF" w:themeColor="background1"/>
              </w:rPr>
              <w:t>NDP Sustainability Objectives</w:t>
            </w:r>
          </w:p>
        </w:tc>
      </w:tr>
      <w:tr w:rsidR="00C1367A" w:rsidTr="00834793">
        <w:tc>
          <w:tcPr>
            <w:tcW w:w="4508" w:type="dxa"/>
            <w:tcBorders>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Biodiversity, fauna and flora</w:t>
            </w:r>
          </w:p>
        </w:tc>
        <w:tc>
          <w:tcPr>
            <w:tcW w:w="4508" w:type="dxa"/>
            <w:tcBorders>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8, 9, 10, 19</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Human population</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1, 2, 3,  17, 20, 21</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Human health</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4, 5, 6</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Soil</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8, 18, 19</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Water</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15, 16</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Air quality and climate</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7, 13, 14</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Material Assets</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11, 12</w:t>
            </w:r>
          </w:p>
        </w:tc>
      </w:tr>
      <w:tr w:rsidR="00C1367A" w:rsidRPr="00EF50E2" w:rsidTr="00834793">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Cultural heritage</w:t>
            </w:r>
          </w:p>
        </w:tc>
        <w:tc>
          <w:tcPr>
            <w:tcW w:w="4508" w:type="dxa"/>
            <w:tcBorders>
              <w:top w:val="nil"/>
              <w:bottom w:val="nil"/>
            </w:tcBorders>
          </w:tcPr>
          <w:p w:rsidR="00C1367A" w:rsidRPr="00B71D9C" w:rsidRDefault="00C1367A" w:rsidP="00834793">
            <w:pPr>
              <w:autoSpaceDE w:val="0"/>
              <w:autoSpaceDN w:val="0"/>
              <w:adjustRightInd w:val="0"/>
              <w:spacing w:after="120"/>
              <w:rPr>
                <w:rFonts w:cstheme="minorHAnsi"/>
              </w:rPr>
            </w:pPr>
            <w:r>
              <w:rPr>
                <w:rFonts w:cstheme="minorHAnsi"/>
              </w:rPr>
              <w:t>Objectives  11, 12, 22</w:t>
            </w:r>
          </w:p>
        </w:tc>
      </w:tr>
      <w:tr w:rsidR="00C1367A" w:rsidRPr="00EF50E2" w:rsidTr="00834793">
        <w:tc>
          <w:tcPr>
            <w:tcW w:w="4508" w:type="dxa"/>
            <w:tcBorders>
              <w:top w:val="nil"/>
            </w:tcBorders>
          </w:tcPr>
          <w:p w:rsidR="00C1367A" w:rsidRPr="00B71D9C" w:rsidRDefault="00C1367A" w:rsidP="00834793">
            <w:pPr>
              <w:autoSpaceDE w:val="0"/>
              <w:autoSpaceDN w:val="0"/>
              <w:adjustRightInd w:val="0"/>
              <w:spacing w:after="120"/>
              <w:rPr>
                <w:rFonts w:cstheme="minorHAnsi"/>
              </w:rPr>
            </w:pPr>
            <w:r w:rsidRPr="00B71D9C">
              <w:rPr>
                <w:rFonts w:cstheme="minorHAnsi"/>
              </w:rPr>
              <w:t>Landscape</w:t>
            </w:r>
          </w:p>
        </w:tc>
        <w:tc>
          <w:tcPr>
            <w:tcW w:w="4508" w:type="dxa"/>
            <w:tcBorders>
              <w:top w:val="nil"/>
            </w:tcBorders>
          </w:tcPr>
          <w:p w:rsidR="00C1367A" w:rsidRPr="00B71D9C" w:rsidRDefault="00C1367A" w:rsidP="00834793">
            <w:pPr>
              <w:autoSpaceDE w:val="0"/>
              <w:autoSpaceDN w:val="0"/>
              <w:adjustRightInd w:val="0"/>
              <w:spacing w:after="120"/>
              <w:rPr>
                <w:rFonts w:cstheme="minorHAnsi"/>
              </w:rPr>
            </w:pPr>
            <w:r>
              <w:rPr>
                <w:rFonts w:cstheme="minorHAnsi"/>
              </w:rPr>
              <w:t>Objectives   9, 10</w:t>
            </w:r>
          </w:p>
        </w:tc>
      </w:tr>
    </w:tbl>
    <w:p w:rsidR="00C1367A" w:rsidRDefault="00C1367A" w:rsidP="00F4424F">
      <w:pPr>
        <w:pStyle w:val="Body"/>
        <w:rPr>
          <w:rFonts w:ascii="Calibri" w:hAnsi="Calibri" w:cs="Calibri"/>
          <w:color w:val="auto"/>
        </w:rPr>
      </w:pPr>
    </w:p>
    <w:p w:rsidR="00C1367A" w:rsidRDefault="00C1367A" w:rsidP="00F4424F">
      <w:pPr>
        <w:pStyle w:val="Body"/>
        <w:rPr>
          <w:rFonts w:ascii="Calibri" w:hAnsi="Calibri" w:cs="Calibri"/>
          <w:color w:val="auto"/>
        </w:rPr>
      </w:pPr>
    </w:p>
    <w:p w:rsidR="00C1367A" w:rsidRPr="009F62EF" w:rsidRDefault="00A15ACE" w:rsidP="00C1367A">
      <w:pPr>
        <w:pStyle w:val="Heading2"/>
      </w:pPr>
      <w:bookmarkStart w:id="31" w:name="_Toc512501029"/>
      <w:r>
        <w:t>Impact on</w:t>
      </w:r>
      <w:r w:rsidR="00C1367A" w:rsidRPr="009F62EF">
        <w:t xml:space="preserve"> E</w:t>
      </w:r>
      <w:r>
        <w:t>uropean</w:t>
      </w:r>
      <w:r w:rsidR="00C1367A" w:rsidRPr="009F62EF">
        <w:t xml:space="preserve"> S</w:t>
      </w:r>
      <w:r>
        <w:t>ites</w:t>
      </w:r>
      <w:r w:rsidR="00B71C36">
        <w:t>: Habitats Regulations A</w:t>
      </w:r>
      <w:r w:rsidR="00BC14E1">
        <w:t>ssessment</w:t>
      </w:r>
      <w:bookmarkEnd w:id="31"/>
    </w:p>
    <w:p w:rsidR="000F40E2" w:rsidRDefault="00A36876" w:rsidP="002E79EA">
      <w:r w:rsidRPr="00A36876">
        <w:t>SODC has made an assessment of the impact of development in the district, including Watlington, regarding the EU Habitat Directive Sites or Species.  This has been done in the South Oxfordshire Local Plan: Habitats Regulations Assessment Report March 2017.  SODC also commissioned a   screening report on the impact of development proposed in the WNDP on EU Special Areas of Conservation (SACs) and this was comp</w:t>
      </w:r>
      <w:r w:rsidR="00475CC8">
        <w:t xml:space="preserve">leted in </w:t>
      </w:r>
      <w:r w:rsidR="000F40E2">
        <w:t>December</w:t>
      </w:r>
      <w:r w:rsidR="00475CC8">
        <w:t xml:space="preserve"> 2017 (WNDP 15</w:t>
      </w:r>
      <w:r w:rsidRPr="00A36876">
        <w:t xml:space="preserve">).  The screening report concludes </w:t>
      </w:r>
      <w:r w:rsidR="000F40E2">
        <w:t>the following:</w:t>
      </w:r>
    </w:p>
    <w:p w:rsidR="00201C7B" w:rsidRPr="00201C7B" w:rsidRDefault="00201C7B" w:rsidP="00201C7B">
      <w:r w:rsidRPr="00201C7B">
        <w:t xml:space="preserve">The HRA screening of the Watlington Draft Neighbourhood Development Plan (August 2017) has been undertaken in accordance with currently available guidance and based on a precautionary approach as required under the Habitats Regulations.  </w:t>
      </w:r>
    </w:p>
    <w:p w:rsidR="00201C7B" w:rsidRPr="00201C7B" w:rsidRDefault="00201C7B" w:rsidP="00201C7B">
      <w:r w:rsidRPr="00201C7B">
        <w:t>The HRA screening has concluded that likely significant effects on the integrity of European sites around South Oxfordshire from policies and site allocations in the Local Plan will not occur in relation to:</w:t>
      </w:r>
    </w:p>
    <w:p w:rsidR="00201C7B" w:rsidRDefault="00201C7B" w:rsidP="006D293C">
      <w:pPr>
        <w:pStyle w:val="ListParagraph"/>
        <w:numPr>
          <w:ilvl w:val="0"/>
          <w:numId w:val="20"/>
        </w:numPr>
      </w:pPr>
      <w:r w:rsidRPr="00201C7B">
        <w:t>Physical loss of or damage to habitat;</w:t>
      </w:r>
    </w:p>
    <w:p w:rsidR="00201C7B" w:rsidRDefault="00201C7B" w:rsidP="006D293C">
      <w:pPr>
        <w:pStyle w:val="ListParagraph"/>
        <w:numPr>
          <w:ilvl w:val="0"/>
          <w:numId w:val="20"/>
        </w:numPr>
      </w:pPr>
      <w:r w:rsidRPr="00201C7B">
        <w:t>Non-physical disturbance: noise, vibration and light pollution; or</w:t>
      </w:r>
    </w:p>
    <w:p w:rsidR="00201C7B" w:rsidRPr="00201C7B" w:rsidRDefault="00201C7B" w:rsidP="006D293C">
      <w:pPr>
        <w:pStyle w:val="ListParagraph"/>
        <w:numPr>
          <w:ilvl w:val="0"/>
          <w:numId w:val="20"/>
        </w:numPr>
      </w:pPr>
      <w:r w:rsidRPr="00201C7B">
        <w:t>Water quantity and quality.</w:t>
      </w:r>
    </w:p>
    <w:p w:rsidR="00201C7B" w:rsidRPr="00201C7B" w:rsidRDefault="00201C7B" w:rsidP="00201C7B">
      <w:r w:rsidRPr="00201C7B">
        <w:t xml:space="preserve">In addition, none of the policies or site allocations in the Neighbourhood Plan is considered </w:t>
      </w:r>
      <w:r w:rsidRPr="00201C7B">
        <w:rPr>
          <w:i/>
        </w:rPr>
        <w:t>likely</w:t>
      </w:r>
      <w:r w:rsidRPr="00201C7B">
        <w:t xml:space="preserve"> to result in significant effects on the European sites within 17km of Watlington, due to air pollution or recreation pressure.</w:t>
      </w:r>
    </w:p>
    <w:p w:rsidR="00201C7B" w:rsidRPr="00201C7B" w:rsidRDefault="00201C7B" w:rsidP="00201C7B">
      <w:r w:rsidRPr="00201C7B">
        <w:t xml:space="preserve">Four policies and site allocations that would result in new homes were identified as having </w:t>
      </w:r>
      <w:r w:rsidRPr="00201C7B">
        <w:rPr>
          <w:i/>
        </w:rPr>
        <w:t>uncertain</w:t>
      </w:r>
      <w:r w:rsidRPr="00201C7B">
        <w:t xml:space="preserve"> effects on Aston Rowant SAC due to increased visitor numbers, and uncertain effects on Aston Rowant SAC and Chilterns Beechwoods SAC due to increased traffic and air pollution:</w:t>
      </w:r>
    </w:p>
    <w:p w:rsidR="00201C7B" w:rsidRPr="00201C7B" w:rsidRDefault="00201C7B" w:rsidP="006D293C">
      <w:pPr>
        <w:pStyle w:val="ListParagraph"/>
        <w:numPr>
          <w:ilvl w:val="0"/>
          <w:numId w:val="21"/>
        </w:numPr>
      </w:pPr>
      <w:r w:rsidRPr="00201C7B">
        <w:t xml:space="preserve">Policy P5.  New housing development (small scale development of up to five homes); </w:t>
      </w:r>
    </w:p>
    <w:p w:rsidR="00201C7B" w:rsidRPr="00201C7B" w:rsidRDefault="00201C7B" w:rsidP="006D293C">
      <w:pPr>
        <w:pStyle w:val="ListParagraph"/>
        <w:numPr>
          <w:ilvl w:val="0"/>
          <w:numId w:val="21"/>
        </w:numPr>
      </w:pPr>
      <w:r w:rsidRPr="00201C7B">
        <w:t>Site A - Land between Britwell Road and Cuxham Road - c.140 homes and a small number of workshops and/or offices for small businesses or start ups;</w:t>
      </w:r>
    </w:p>
    <w:p w:rsidR="00201C7B" w:rsidRPr="00201C7B" w:rsidRDefault="00201C7B" w:rsidP="006D293C">
      <w:pPr>
        <w:pStyle w:val="ListParagraph"/>
        <w:numPr>
          <w:ilvl w:val="0"/>
          <w:numId w:val="21"/>
        </w:numPr>
      </w:pPr>
      <w:r w:rsidRPr="00201C7B">
        <w:t>Site B - Land Off Cuxham Road and Willow Close - c.38-60 homes; and</w:t>
      </w:r>
    </w:p>
    <w:p w:rsidR="00201C7B" w:rsidRPr="00201C7B" w:rsidRDefault="00201C7B" w:rsidP="006D293C">
      <w:pPr>
        <w:pStyle w:val="ListParagraph"/>
        <w:numPr>
          <w:ilvl w:val="0"/>
          <w:numId w:val="21"/>
        </w:numPr>
      </w:pPr>
      <w:r w:rsidRPr="00201C7B">
        <w:t>Site C - Land off Pyrton Lane - c.60 homes.</w:t>
      </w:r>
    </w:p>
    <w:p w:rsidR="00201C7B" w:rsidRPr="00201C7B" w:rsidRDefault="00201C7B" w:rsidP="00201C7B">
      <w:r w:rsidRPr="00201C7B">
        <w:t>Data on commuting by car</w:t>
      </w:r>
      <w:r w:rsidRPr="00201C7B">
        <w:rPr>
          <w:vertAlign w:val="superscript"/>
        </w:rPr>
        <w:footnoteReference w:id="2"/>
      </w:r>
      <w:r w:rsidRPr="00201C7B">
        <w:t xml:space="preserve"> indicates that people living in Watlington travel to a number of locations for work, with Henley-on-Thames receiving a slightly higher proportion than other locations. Very few journeys would require use of the A404 or A4010 in the direction of Chilterns Beechwoods SAC. Although a small proportion of journeys are likely to involve the M40 (for example those in the direction of London), which would pass Aston Rowant SAC, the overall quantum of development proposed at Watlington would not increase traffic flows by more than 1000 AADT on the M40.  </w:t>
      </w:r>
    </w:p>
    <w:p w:rsidR="00201C7B" w:rsidRPr="00201C7B" w:rsidRDefault="00201C7B" w:rsidP="00201C7B">
      <w:r w:rsidRPr="00201C7B">
        <w:t xml:space="preserve">Travel to Watlington for work comes from a spread of locations, with a slightly higher proportion of trips from Benson, Newington and Chinnor. Very few journeys are made to Watlington from the direction of roads adjacent to Chilterns Beechwoods SAC or Aston Rowant SAC. Watlington Neighbourhood Plan alone is therefore unlikely to significantly increase traffic, and therefore air pollution, adjacent to sensitive European sites. The Neighbourhood Plan does, however, have the potential to have impacts on air pollution in combination with other plans.  </w:t>
      </w:r>
    </w:p>
    <w:p w:rsidR="00201C7B" w:rsidRPr="00201C7B" w:rsidRDefault="00201C7B" w:rsidP="00201C7B">
      <w:r w:rsidRPr="00201C7B">
        <w:t xml:space="preserve">The Council may rely upon the conclusions of the recent HRA of the emerging Local Plan in respect of the potential effects of traffic related air pollution.  The assessment concluded that the in-combination effects of growth could have likely significant effects on the Aston Rowant SAC, however an appropriate assessment of those effects has confirmed that they would not result in an adverse effect on the integrity of the site, and as such no further appropriate assessment of the Watlington Neighbourhood Plan is required.  </w:t>
      </w:r>
    </w:p>
    <w:p w:rsidR="00201C7B" w:rsidRPr="00201C7B" w:rsidRDefault="00201C7B" w:rsidP="00201C7B">
      <w:r w:rsidRPr="00201C7B">
        <w:t>Potential effects of recreational pressure on Aston Rowant SAC have been screened out of the Local Plan HRA, and it would be appropriate for the Council to rely on the conclusion of that recent HRA in screening the Watlington Neighbourhood Plan, and as such it may be concluded that Watlington Neighbourhood Plan</w:t>
      </w:r>
      <w:r w:rsidRPr="00201C7B" w:rsidDel="009B382C">
        <w:t xml:space="preserve"> </w:t>
      </w:r>
      <w:r w:rsidRPr="00201C7B">
        <w:t>would not have any likely significant effects on Aston Rowant SAC</w:t>
      </w:r>
      <w:r w:rsidRPr="00201C7B" w:rsidDel="009B382C">
        <w:t xml:space="preserve"> </w:t>
      </w:r>
      <w:r w:rsidRPr="00201C7B">
        <w:t>through recreational pressure and no appropriate assessment is required.</w:t>
      </w:r>
    </w:p>
    <w:p w:rsidR="00BB3A25" w:rsidRPr="00914588" w:rsidRDefault="00BB3A25" w:rsidP="002E79EA"/>
    <w:p w:rsidR="00BB3A25" w:rsidRPr="00BB3A25" w:rsidRDefault="00BB3A25" w:rsidP="00BB3A25">
      <w:pPr>
        <w:pStyle w:val="Heading2"/>
      </w:pPr>
      <w:r w:rsidRPr="00BB3A25">
        <w:t xml:space="preserve"> </w:t>
      </w:r>
      <w:bookmarkStart w:id="32" w:name="_Toc512501030"/>
      <w:r w:rsidRPr="00BB3A25">
        <w:t>Air Quality Directive (2008/50/EC)</w:t>
      </w:r>
      <w:bookmarkEnd w:id="32"/>
    </w:p>
    <w:p w:rsidR="00BB3A25" w:rsidRPr="00BB3A25" w:rsidRDefault="00BB3A25" w:rsidP="00BB3A25">
      <w:pPr>
        <w:pStyle w:val="Body"/>
        <w:rPr>
          <w:rFonts w:ascii="Calibri" w:hAnsi="Calibri" w:cs="Calibri"/>
          <w:color w:val="auto"/>
        </w:rPr>
      </w:pPr>
    </w:p>
    <w:p w:rsidR="003562D2" w:rsidRDefault="00BB3A25" w:rsidP="003562D2">
      <w:pPr>
        <w:pStyle w:val="Body"/>
        <w:rPr>
          <w:rFonts w:ascii="Calibri" w:hAnsi="Calibri" w:cs="Calibri"/>
          <w:color w:val="auto"/>
        </w:rPr>
      </w:pPr>
      <w:r w:rsidRPr="00BB3A25">
        <w:rPr>
          <w:rFonts w:ascii="Calibri" w:hAnsi="Calibri" w:cs="Calibri"/>
          <w:color w:val="auto"/>
        </w:rPr>
        <w:t>The centre of Watlington was designated by SODC as an Air Quality Management Area in 2009 because levels of pollution were consistently abo</w:t>
      </w:r>
      <w:r>
        <w:rPr>
          <w:rFonts w:ascii="Calibri" w:hAnsi="Calibri" w:cs="Calibri"/>
          <w:color w:val="auto"/>
        </w:rPr>
        <w:t xml:space="preserve">ve the levels set by the EU. SODC published an </w:t>
      </w:r>
      <w:r w:rsidRPr="00BB3A25">
        <w:rPr>
          <w:rFonts w:ascii="Calibri" w:hAnsi="Calibri" w:cs="Calibri"/>
          <w:color w:val="auto"/>
        </w:rPr>
        <w:t xml:space="preserve">Air Quality </w:t>
      </w:r>
      <w:r w:rsidR="003562D2">
        <w:rPr>
          <w:rFonts w:ascii="Calibri" w:hAnsi="Calibri" w:cs="Calibri"/>
          <w:color w:val="auto"/>
        </w:rPr>
        <w:t xml:space="preserve">Action Plan (AQAP) in 2014 and a Low Emissions Strategy (LES) </w:t>
      </w:r>
      <w:r w:rsidRPr="00BB3A25">
        <w:rPr>
          <w:rFonts w:ascii="Calibri" w:hAnsi="Calibri" w:cs="Calibri"/>
          <w:color w:val="auto"/>
        </w:rPr>
        <w:t>in 2017.  The main source of pollution is vehicle emissions. The WNDP seeks to support th</w:t>
      </w:r>
      <w:r w:rsidR="003562D2">
        <w:rPr>
          <w:rFonts w:ascii="Calibri" w:hAnsi="Calibri" w:cs="Calibri"/>
          <w:color w:val="auto"/>
        </w:rPr>
        <w:t xml:space="preserve">e aims of the AQAP and the LES </w:t>
      </w:r>
      <w:r w:rsidRPr="00BB3A25">
        <w:rPr>
          <w:rFonts w:ascii="Calibri" w:hAnsi="Calibri" w:cs="Calibri"/>
          <w:color w:val="auto"/>
        </w:rPr>
        <w:t>and includes proposals for the reduction of air pollution by reducing the volume of tr</w:t>
      </w:r>
      <w:r w:rsidR="003562D2">
        <w:rPr>
          <w:rFonts w:ascii="Calibri" w:hAnsi="Calibri" w:cs="Calibri"/>
          <w:color w:val="auto"/>
        </w:rPr>
        <w:t xml:space="preserve">affic using town centre roads. </w:t>
      </w:r>
      <w:r w:rsidRPr="00BB3A25">
        <w:rPr>
          <w:rFonts w:ascii="Calibri" w:hAnsi="Calibri" w:cs="Calibri"/>
          <w:color w:val="auto"/>
        </w:rPr>
        <w:t>The WNDP reserves land on the allocated development sites for a safeguarded route for a re-aligned B4009 which would divert a majority of through traffic away from the town centre</w:t>
      </w:r>
      <w:r>
        <w:rPr>
          <w:rFonts w:ascii="Calibri" w:hAnsi="Calibri" w:cs="Calibri"/>
          <w:color w:val="auto"/>
        </w:rPr>
        <w:t>.</w:t>
      </w:r>
    </w:p>
    <w:p w:rsidR="003562D2" w:rsidRDefault="003562D2" w:rsidP="003562D2">
      <w:pPr>
        <w:pStyle w:val="Body"/>
        <w:rPr>
          <w:rFonts w:ascii="Calibri" w:hAnsi="Calibri" w:cs="Calibri"/>
          <w:color w:val="auto"/>
        </w:rPr>
      </w:pPr>
    </w:p>
    <w:p w:rsidR="003562D2" w:rsidRDefault="003562D2" w:rsidP="003562D2">
      <w:pPr>
        <w:pStyle w:val="Body"/>
        <w:rPr>
          <w:rFonts w:ascii="Calibri" w:hAnsi="Calibri" w:cs="Calibri"/>
          <w:color w:val="auto"/>
        </w:rPr>
      </w:pPr>
    </w:p>
    <w:p w:rsidR="00F4424F" w:rsidRPr="00914588" w:rsidRDefault="007738E6" w:rsidP="003562D2">
      <w:pPr>
        <w:pStyle w:val="Heading1"/>
      </w:pPr>
      <w:bookmarkStart w:id="33" w:name="_Toc512501031"/>
      <w:r>
        <w:t>REGULATION 14 CONSULTATION</w:t>
      </w:r>
      <w:bookmarkEnd w:id="33"/>
    </w:p>
    <w:p w:rsidR="00F4424F" w:rsidRPr="009F62EF" w:rsidRDefault="00F4424F" w:rsidP="002E79EA">
      <w:pPr>
        <w:rPr>
          <w:rFonts w:eastAsia="Times New Roman"/>
        </w:rPr>
      </w:pPr>
      <w:r w:rsidRPr="00E947C8">
        <w:t>Under Regulations 14 and 21 of the Neighbourhood Plan (General) Regulations 2012</w:t>
      </w:r>
      <w:r w:rsidRPr="009F62EF">
        <w:rPr>
          <w:rFonts w:eastAsia="Times New Roman"/>
        </w:rPr>
        <w:t xml:space="preserve"> (as amended), a Qualifying Body must publicise the draft Neighbourhood Development Plan for at least 6 weeks, and consult any of the Consultation Bodies (</w:t>
      </w:r>
      <w:r w:rsidR="007738E6">
        <w:rPr>
          <w:rFonts w:eastAsia="Times New Roman"/>
        </w:rPr>
        <w:t xml:space="preserve">specified in Schedule 1 of the </w:t>
      </w:r>
      <w:r w:rsidRPr="009F62EF">
        <w:rPr>
          <w:rFonts w:eastAsia="Times New Roman"/>
        </w:rPr>
        <w:t>Regulations) whose interests it considers may be affected by the draft Plan.</w:t>
      </w:r>
    </w:p>
    <w:p w:rsidR="00F4424F" w:rsidRPr="009F62EF" w:rsidRDefault="00B71C36" w:rsidP="002E79EA">
      <w:pPr>
        <w:rPr>
          <w:rFonts w:eastAsia="Times New Roman"/>
        </w:rPr>
      </w:pPr>
      <w:r>
        <w:t>Watlington Parish Council, a</w:t>
      </w:r>
      <w:r w:rsidR="00F4424F" w:rsidRPr="00E947C8">
        <w:t xml:space="preserve">s </w:t>
      </w:r>
      <w:r>
        <w:t>the q</w:t>
      </w:r>
      <w:r w:rsidR="00F4424F" w:rsidRPr="00E947C8">
        <w:t xml:space="preserve">ualifying </w:t>
      </w:r>
      <w:r>
        <w:t>b</w:t>
      </w:r>
      <w:r w:rsidR="00F4424F" w:rsidRPr="00E947C8">
        <w:t>ody, ran a pre-Submission consultation between 18 April 2017 and 2 June 2017.</w:t>
      </w:r>
      <w:r w:rsidR="00F4424F" w:rsidRPr="009F62EF">
        <w:rPr>
          <w:rFonts w:eastAsia="Times New Roman"/>
        </w:rPr>
        <w:t xml:space="preserve"> The draft </w:t>
      </w:r>
      <w:r>
        <w:rPr>
          <w:rFonts w:eastAsia="Times New Roman"/>
        </w:rPr>
        <w:t>W</w:t>
      </w:r>
      <w:r w:rsidR="00F4424F" w:rsidRPr="009F62EF">
        <w:rPr>
          <w:rFonts w:eastAsia="Times New Roman"/>
        </w:rPr>
        <w:t xml:space="preserve">NDP was sent to those Consultation Bodies whom WPC decided were relevant to planning matters in Watlington. The draft </w:t>
      </w:r>
      <w:r>
        <w:rPr>
          <w:rFonts w:eastAsia="Times New Roman"/>
        </w:rPr>
        <w:t>W</w:t>
      </w:r>
      <w:r w:rsidR="00F4424F" w:rsidRPr="009F62EF">
        <w:rPr>
          <w:rFonts w:eastAsia="Times New Roman"/>
        </w:rPr>
        <w:t>NDP was published on</w:t>
      </w:r>
      <w:r w:rsidR="006F4B18">
        <w:rPr>
          <w:rFonts w:eastAsia="Times New Roman"/>
        </w:rPr>
        <w:t xml:space="preserve"> the Neighbourhood Plan website, a</w:t>
      </w:r>
      <w:r w:rsidR="00F4424F" w:rsidRPr="009F62EF">
        <w:rPr>
          <w:rFonts w:eastAsia="Times New Roman"/>
        </w:rPr>
        <w:t xml:space="preserve"> summary of the </w:t>
      </w:r>
      <w:r>
        <w:rPr>
          <w:rFonts w:eastAsia="Times New Roman"/>
        </w:rPr>
        <w:t>W</w:t>
      </w:r>
      <w:r w:rsidR="00F4424F" w:rsidRPr="009F62EF">
        <w:rPr>
          <w:rFonts w:eastAsia="Times New Roman"/>
        </w:rPr>
        <w:t xml:space="preserve">NDP Policies was hand-delivered by volunteers to every residential household and to business premises in the </w:t>
      </w:r>
      <w:r>
        <w:rPr>
          <w:rFonts w:eastAsia="Times New Roman"/>
        </w:rPr>
        <w:t>W</w:t>
      </w:r>
      <w:r w:rsidR="00F4424F" w:rsidRPr="009F62EF">
        <w:rPr>
          <w:rFonts w:eastAsia="Times New Roman"/>
        </w:rPr>
        <w:t xml:space="preserve">NDP Area, with a questionnaire for return to the </w:t>
      </w:r>
      <w:r>
        <w:rPr>
          <w:rFonts w:eastAsia="Times New Roman"/>
        </w:rPr>
        <w:t>W</w:t>
      </w:r>
      <w:r w:rsidR="00F4424F" w:rsidRPr="009F62EF">
        <w:rPr>
          <w:rFonts w:eastAsia="Times New Roman"/>
        </w:rPr>
        <w:t>NDP Office.</w:t>
      </w:r>
    </w:p>
    <w:p w:rsidR="00F4424F" w:rsidRPr="009F62EF" w:rsidRDefault="00F4424F" w:rsidP="002E79EA">
      <w:pPr>
        <w:rPr>
          <w:rFonts w:eastAsia="Times New Roman"/>
        </w:rPr>
      </w:pPr>
      <w:r w:rsidRPr="00E947C8">
        <w:t>Over 520 questionnaires were returned from households and businesses. In addition to the checklist responses, over 1100 additional written comments were received</w:t>
      </w:r>
      <w:r w:rsidRPr="009F62EF">
        <w:rPr>
          <w:rFonts w:eastAsia="Times New Roman"/>
        </w:rPr>
        <w:t>. These were r</w:t>
      </w:r>
      <w:r w:rsidR="005A0439">
        <w:rPr>
          <w:rFonts w:eastAsia="Times New Roman"/>
        </w:rPr>
        <w:t>ecorded, tabulated and analysed</w:t>
      </w:r>
      <w:r w:rsidRPr="009F62EF">
        <w:rPr>
          <w:rFonts w:eastAsia="Times New Roman"/>
        </w:rPr>
        <w:t xml:space="preserve"> and appropriate adjustments to the Plan have been made in the light of these comments.</w:t>
      </w:r>
    </w:p>
    <w:p w:rsidR="00F4424F" w:rsidRPr="005F39A5" w:rsidRDefault="00F4424F" w:rsidP="002E79EA">
      <w:pPr>
        <w:rPr>
          <w:rFonts w:eastAsia="Times New Roman"/>
        </w:rPr>
      </w:pPr>
      <w:r w:rsidRPr="00E947C8">
        <w:t xml:space="preserve">WPC is satisfied that it has met the requirements of the </w:t>
      </w:r>
      <w:r w:rsidRPr="005F39A5">
        <w:t>Regulations</w:t>
      </w:r>
      <w:r w:rsidR="00B71C36" w:rsidRPr="005F39A5">
        <w:t xml:space="preserve"> and guidance in PPG Neighbourhood Planning</w:t>
      </w:r>
      <w:r w:rsidRPr="005F39A5">
        <w:rPr>
          <w:rFonts w:eastAsia="Times New Roman"/>
        </w:rPr>
        <w:t xml:space="preserve">. The draft </w:t>
      </w:r>
      <w:r w:rsidR="00B71C36" w:rsidRPr="005F39A5">
        <w:rPr>
          <w:rFonts w:eastAsia="Times New Roman"/>
        </w:rPr>
        <w:t>W</w:t>
      </w:r>
      <w:r w:rsidRPr="005F39A5">
        <w:rPr>
          <w:rFonts w:eastAsia="Times New Roman"/>
        </w:rPr>
        <w:t xml:space="preserve">NDP has been extensively publicised and consulted upon. Relevant comments from Statutory Consultees and local households and businesses have been properly considered and fed into the final drafting of the Plan. The Parish Council, as Qualifying Body, believes that the Draft </w:t>
      </w:r>
      <w:r w:rsidR="00B71C36" w:rsidRPr="005F39A5">
        <w:rPr>
          <w:rFonts w:eastAsia="Times New Roman"/>
        </w:rPr>
        <w:t>W</w:t>
      </w:r>
      <w:r w:rsidRPr="005F39A5">
        <w:rPr>
          <w:rFonts w:eastAsia="Times New Roman"/>
        </w:rPr>
        <w:t>NDP as submitted to SODC, represents the settled opinion of the community on the basis of the information available to the Plan Team at the time of the Consultation and communicated to the community of Watlington.</w:t>
      </w:r>
      <w:r w:rsidR="00B71C36" w:rsidRPr="005F39A5">
        <w:rPr>
          <w:rFonts w:eastAsia="Times New Roman"/>
        </w:rPr>
        <w:t xml:space="preserve"> Full details of the consultation process and outcomes are included in the Consultation Statement </w:t>
      </w:r>
      <w:r w:rsidR="005F39A5">
        <w:rPr>
          <w:rFonts w:eastAsia="Times New Roman"/>
        </w:rPr>
        <w:t xml:space="preserve">(WNDP 3) </w:t>
      </w:r>
      <w:r w:rsidR="00B71C36" w:rsidRPr="005F39A5">
        <w:rPr>
          <w:rFonts w:eastAsia="Times New Roman"/>
        </w:rPr>
        <w:t>and are on the WNDP website.</w:t>
      </w:r>
      <w:r w:rsidRPr="005F39A5">
        <w:rPr>
          <w:rFonts w:eastAsia="Times New Roman"/>
        </w:rPr>
        <w:t> </w:t>
      </w:r>
    </w:p>
    <w:bookmarkEnd w:id="2"/>
    <w:p w:rsidR="00F4424F" w:rsidRDefault="00F4424F"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F4424F">
      <w:pPr>
        <w:rPr>
          <w:lang w:eastAsia="en-GB"/>
        </w:rPr>
      </w:pPr>
    </w:p>
    <w:p w:rsidR="005A0439" w:rsidRDefault="005A0439" w:rsidP="005A0439">
      <w:pPr>
        <w:pStyle w:val="AppTitle"/>
        <w:rPr>
          <w:sz w:val="36"/>
          <w:lang w:eastAsia="en-GB"/>
        </w:rPr>
      </w:pPr>
      <w:r w:rsidRPr="00226F2A">
        <w:rPr>
          <w:sz w:val="36"/>
          <w:lang w:eastAsia="en-GB"/>
        </w:rPr>
        <w:t>WNDP Sustainability Objectives</w:t>
      </w:r>
    </w:p>
    <w:p w:rsidR="003562D2" w:rsidRPr="003562D2" w:rsidRDefault="003562D2" w:rsidP="003562D2">
      <w:pPr>
        <w:rPr>
          <w:b/>
          <w:lang w:eastAsia="en-GB"/>
        </w:rPr>
      </w:pPr>
      <w:r w:rsidRPr="003562D2">
        <w:rPr>
          <w:b/>
          <w:lang w:eastAsia="en-GB"/>
        </w:rPr>
        <w:t>Extract from the Sustainability Appraisal</w:t>
      </w:r>
      <w:r w:rsidR="005F39A5">
        <w:rPr>
          <w:b/>
          <w:lang w:eastAsia="en-GB"/>
        </w:rPr>
        <w:t xml:space="preserve"> with</w:t>
      </w:r>
      <w:r w:rsidRPr="003562D2">
        <w:rPr>
          <w:b/>
          <w:lang w:eastAsia="en-GB"/>
        </w:rPr>
        <w:t xml:space="preserve"> Environment Report (WNDP 4)</w:t>
      </w:r>
    </w:p>
    <w:tbl>
      <w:tblPr>
        <w:tblW w:w="9747" w:type="dxa"/>
        <w:tblLook w:val="04A0" w:firstRow="1" w:lastRow="0" w:firstColumn="1" w:lastColumn="0" w:noHBand="0" w:noVBand="1"/>
      </w:tblPr>
      <w:tblGrid>
        <w:gridCol w:w="644"/>
        <w:gridCol w:w="9103"/>
      </w:tblGrid>
      <w:tr w:rsidR="005A0439" w:rsidRPr="003562D2" w:rsidTr="00AF3EAE">
        <w:trPr>
          <w:cantSplit/>
          <w:trHeight w:val="375"/>
        </w:trPr>
        <w:tc>
          <w:tcPr>
            <w:tcW w:w="540" w:type="dxa"/>
            <w:tcBorders>
              <w:top w:val="single" w:sz="8" w:space="0" w:color="auto"/>
              <w:left w:val="single" w:sz="8" w:space="0" w:color="auto"/>
              <w:bottom w:val="single" w:sz="4" w:space="0" w:color="auto"/>
              <w:right w:val="single" w:sz="4" w:space="0" w:color="auto"/>
            </w:tcBorders>
            <w:shd w:val="clear" w:color="000000" w:fill="C4D79B"/>
            <w:hideMark/>
          </w:tcPr>
          <w:p w:rsidR="005A0439" w:rsidRPr="003562D2" w:rsidRDefault="005A0439" w:rsidP="00AF3EAE">
            <w:pPr>
              <w:spacing w:after="0" w:line="240" w:lineRule="auto"/>
              <w:rPr>
                <w:rFonts w:eastAsia="Times New Roman" w:cs="Calibri"/>
                <w:b/>
                <w:bCs/>
                <w:color w:val="000000"/>
                <w:sz w:val="20"/>
                <w:szCs w:val="20"/>
                <w:lang w:eastAsia="en-GB"/>
              </w:rPr>
            </w:pPr>
            <w:r w:rsidRPr="003562D2">
              <w:rPr>
                <w:rFonts w:eastAsia="Times New Roman" w:cs="Calibri"/>
                <w:b/>
                <w:bCs/>
                <w:color w:val="000000"/>
                <w:sz w:val="20"/>
                <w:szCs w:val="20"/>
                <w:lang w:eastAsia="en-GB"/>
              </w:rPr>
              <w:t>#</w:t>
            </w:r>
          </w:p>
        </w:tc>
        <w:tc>
          <w:tcPr>
            <w:tcW w:w="9207" w:type="dxa"/>
            <w:tcBorders>
              <w:top w:val="single" w:sz="8" w:space="0" w:color="auto"/>
              <w:left w:val="nil"/>
              <w:bottom w:val="single" w:sz="4" w:space="0" w:color="auto"/>
              <w:right w:val="single" w:sz="8" w:space="0" w:color="auto"/>
            </w:tcBorders>
            <w:shd w:val="clear" w:color="000000" w:fill="C4D79B"/>
            <w:hideMark/>
          </w:tcPr>
          <w:p w:rsidR="005A0439" w:rsidRPr="003562D2" w:rsidRDefault="005A0439" w:rsidP="00AF3EAE">
            <w:pPr>
              <w:spacing w:after="0" w:line="240" w:lineRule="auto"/>
              <w:rPr>
                <w:rFonts w:eastAsia="Times New Roman" w:cs="Calibri"/>
                <w:b/>
                <w:bCs/>
                <w:color w:val="000000"/>
                <w:sz w:val="20"/>
                <w:szCs w:val="20"/>
                <w:lang w:eastAsia="en-GB"/>
              </w:rPr>
            </w:pPr>
            <w:r w:rsidRPr="003562D2">
              <w:rPr>
                <w:rFonts w:eastAsia="Times New Roman" w:cs="Calibri"/>
                <w:b/>
                <w:bCs/>
                <w:color w:val="000000"/>
                <w:sz w:val="20"/>
                <w:szCs w:val="20"/>
                <w:lang w:eastAsia="en-GB"/>
              </w:rPr>
              <w:t>Sustainability Objective</w:t>
            </w:r>
          </w:p>
        </w:tc>
      </w:tr>
      <w:tr w:rsidR="005A0439" w:rsidRPr="003562D2" w:rsidTr="00AF3EAE">
        <w:trPr>
          <w:cantSplit/>
          <w:trHeight w:val="524"/>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help to provide a good mix of housing types to meet the identified needs of Watlington residents and to provide the opportunity for people to live in a decent home which is affordable within their means</w:t>
            </w:r>
          </w:p>
        </w:tc>
      </w:tr>
      <w:tr w:rsidR="005A0439" w:rsidRPr="003562D2" w:rsidTr="00AF3EAE">
        <w:trPr>
          <w:cantSplit/>
          <w:trHeight w:val="560"/>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2</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The help to create a safe environment through well designed development in which people can live and work and which is attractive and welcoming to visitors</w:t>
            </w:r>
          </w:p>
        </w:tc>
      </w:tr>
      <w:tr w:rsidR="005A0439" w:rsidRPr="003562D2" w:rsidTr="00AF3EAE">
        <w:trPr>
          <w:cantSplit/>
          <w:trHeight w:val="554"/>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3</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enable everyone to contribute to decisions affecting the community and to support community initiatives that will benefit local residents</w:t>
            </w:r>
          </w:p>
        </w:tc>
      </w:tr>
      <w:tr w:rsidR="005A0439" w:rsidRPr="003562D2" w:rsidTr="00AF3EAE">
        <w:trPr>
          <w:cantSplit/>
          <w:trHeight w:val="562"/>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4</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promote people's health and wellbeing by making sure that everyone has good access to local green spaces, to the countryside and to surrounding villages via attractive pedestrian and cycle routes</w:t>
            </w:r>
          </w:p>
        </w:tc>
      </w:tr>
      <w:tr w:rsidR="005A0439" w:rsidRPr="003562D2" w:rsidTr="00AF3EAE">
        <w:trPr>
          <w:cantSplit/>
          <w:trHeight w:val="273"/>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5</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improve accessibility for people of all abilities to local services and facilities and to promote improved opportunities for public transport</w:t>
            </w:r>
          </w:p>
        </w:tc>
      </w:tr>
      <w:tr w:rsidR="005A0439" w:rsidRPr="003562D2" w:rsidTr="00AF3EAE">
        <w:trPr>
          <w:cantSplit/>
          <w:trHeight w:val="510"/>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6</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reduce the negative impact of traffic on the environment caused by noise, vibration, and congestion by promoting effective traffic management strategies</w:t>
            </w:r>
          </w:p>
        </w:tc>
      </w:tr>
      <w:tr w:rsidR="005A0439" w:rsidRPr="003562D2" w:rsidTr="00AF3EAE">
        <w:trPr>
          <w:cantSplit/>
          <w:trHeight w:val="285"/>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7</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support action to improve air quality</w:t>
            </w:r>
          </w:p>
        </w:tc>
      </w:tr>
      <w:tr w:rsidR="005A0439" w:rsidRPr="003562D2" w:rsidTr="00AF3EAE">
        <w:trPr>
          <w:cantSplit/>
          <w:trHeight w:val="549"/>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8</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conserve and enhance biodiversity ,maximising opportunities for biodiversity within all new development, and paying particular attention to habitat linkage and wildlife corridors</w:t>
            </w:r>
          </w:p>
        </w:tc>
      </w:tr>
      <w:tr w:rsidR="005A0439" w:rsidRPr="003562D2" w:rsidTr="00AF3EAE">
        <w:trPr>
          <w:cantSplit/>
          <w:trHeight w:val="425"/>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9</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protect and enhance the town's landscape setting and the countryside around it with special regard to the Chilterns AONB</w:t>
            </w:r>
          </w:p>
        </w:tc>
      </w:tr>
      <w:tr w:rsidR="005A0439" w:rsidRPr="003562D2" w:rsidTr="00AF3EAE">
        <w:trPr>
          <w:cantSplit/>
          <w:trHeight w:val="531"/>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5F39A5"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10</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protect the rural character of the parish by minimising light encroachment in order to preserve dark skies</w:t>
            </w:r>
          </w:p>
        </w:tc>
      </w:tr>
      <w:tr w:rsidR="005A0439" w:rsidRPr="003562D2" w:rsidTr="00AF3EAE">
        <w:trPr>
          <w:cantSplit/>
          <w:trHeight w:val="255"/>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11</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protect and enhance the town's historic environment, Conservation Area and heritage features including archaeological sites</w:t>
            </w:r>
          </w:p>
        </w:tc>
      </w:tr>
      <w:tr w:rsidR="005A0439" w:rsidRPr="003562D2" w:rsidTr="00AF3EAE">
        <w:trPr>
          <w:cantSplit/>
          <w:trHeight w:val="556"/>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12</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ensure that new development reflects the distinctiveness of the built form of Watlington by using high quality design and materials</w:t>
            </w:r>
          </w:p>
        </w:tc>
      </w:tr>
      <w:tr w:rsidR="005A0439" w:rsidRPr="003562D2" w:rsidTr="00AF3EAE">
        <w:trPr>
          <w:cantSplit/>
          <w:trHeight w:val="763"/>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13</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ensure that the location and design of new development is resilient to the effects of climate change and to mitigate and adapt to climate change by securing sustainable building practices which conserve energy, water resources and materials</w:t>
            </w:r>
          </w:p>
        </w:tc>
      </w:tr>
      <w:tr w:rsidR="005A0439" w:rsidRPr="003562D2" w:rsidTr="00AF3EAE">
        <w:trPr>
          <w:cantSplit/>
          <w:trHeight w:val="262"/>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14</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support energy generation projects from renewable sources</w:t>
            </w:r>
          </w:p>
        </w:tc>
      </w:tr>
      <w:tr w:rsidR="005A0439" w:rsidRPr="003562D2" w:rsidTr="00AF3EAE">
        <w:trPr>
          <w:cantSplit/>
          <w:trHeight w:val="285"/>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15</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protect, enhance and manage the parish's watercourses, springs and ponds.  To safeguard their margins and groundwater sources, restoring naturalised sections and creating wetland features where appropriate &amp; improve water quality taking into consideration the requirements of The Water Framework Directive and the Thames River Basin Management Plan</w:t>
            </w:r>
          </w:p>
        </w:tc>
      </w:tr>
      <w:tr w:rsidR="005A0439" w:rsidRPr="003562D2" w:rsidTr="00AF3EAE">
        <w:trPr>
          <w:cantSplit/>
          <w:trHeight w:val="547"/>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16</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reduce the risk of damaging groundwater or fluvial flooding by taking advantage of natural processes in the way flows are managed and ensuring that sustainable drainage systems are used on sites which are developed.</w:t>
            </w:r>
          </w:p>
        </w:tc>
      </w:tr>
      <w:tr w:rsidR="005A0439" w:rsidRPr="003562D2" w:rsidTr="00AF3EAE">
        <w:trPr>
          <w:cantSplit/>
          <w:trHeight w:val="293"/>
        </w:trPr>
        <w:tc>
          <w:tcPr>
            <w:tcW w:w="540" w:type="dxa"/>
            <w:tcBorders>
              <w:top w:val="nil"/>
              <w:left w:val="single" w:sz="8" w:space="0" w:color="auto"/>
              <w:bottom w:val="single" w:sz="4" w:space="0" w:color="auto"/>
              <w:right w:val="single" w:sz="4" w:space="0" w:color="auto"/>
            </w:tcBorders>
            <w:shd w:val="clear" w:color="000000" w:fill="C4D79B"/>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17</w:t>
            </w:r>
          </w:p>
        </w:tc>
        <w:tc>
          <w:tcPr>
            <w:tcW w:w="9207" w:type="dxa"/>
            <w:tcBorders>
              <w:top w:val="nil"/>
              <w:left w:val="nil"/>
              <w:bottom w:val="single" w:sz="4" w:space="0" w:color="auto"/>
              <w:right w:val="single" w:sz="8" w:space="0" w:color="auto"/>
            </w:tcBorders>
            <w:shd w:val="clear" w:color="auto" w:fill="auto"/>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support the reduction of waste through recycling, composting and energy recovery</w:t>
            </w:r>
          </w:p>
        </w:tc>
      </w:tr>
      <w:tr w:rsidR="005A0439" w:rsidRPr="003562D2" w:rsidTr="00AF3EAE">
        <w:trPr>
          <w:cantSplit/>
          <w:trHeight w:val="293"/>
        </w:trPr>
        <w:tc>
          <w:tcPr>
            <w:tcW w:w="540" w:type="dxa"/>
            <w:tcBorders>
              <w:top w:val="nil"/>
              <w:left w:val="single" w:sz="8" w:space="0" w:color="auto"/>
              <w:bottom w:val="single" w:sz="4" w:space="0" w:color="auto"/>
              <w:right w:val="single" w:sz="4" w:space="0" w:color="auto"/>
            </w:tcBorders>
            <w:shd w:val="clear" w:color="000000" w:fill="C4D79B"/>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18</w:t>
            </w:r>
          </w:p>
        </w:tc>
        <w:tc>
          <w:tcPr>
            <w:tcW w:w="9207" w:type="dxa"/>
            <w:tcBorders>
              <w:top w:val="nil"/>
              <w:left w:val="nil"/>
              <w:bottom w:val="single" w:sz="4" w:space="0" w:color="auto"/>
              <w:right w:val="single" w:sz="8" w:space="0" w:color="auto"/>
            </w:tcBorders>
            <w:shd w:val="clear" w:color="auto" w:fill="auto"/>
          </w:tcPr>
          <w:p w:rsidR="005A0439" w:rsidRPr="003562D2" w:rsidRDefault="005A0439" w:rsidP="00AF3EAE">
            <w:pPr>
              <w:spacing w:after="0" w:line="240" w:lineRule="auto"/>
              <w:rPr>
                <w:rFonts w:eastAsia="Times New Roman" w:cs="Calibri"/>
                <w:color w:val="000000"/>
                <w:sz w:val="20"/>
                <w:szCs w:val="20"/>
                <w:lang w:eastAsia="en-GB"/>
              </w:rPr>
            </w:pPr>
            <w:r w:rsidRPr="003562D2">
              <w:rPr>
                <w:rFonts w:eastAsia="Times New Roman" w:cs="Calibri"/>
                <w:color w:val="000000"/>
                <w:sz w:val="20"/>
                <w:szCs w:val="20"/>
                <w:lang w:eastAsia="en-GB"/>
              </w:rPr>
              <w:t>To improve efficiency in land use through re-use of previously developed land and existing buildings and to protect minerals and other natural resources</w:t>
            </w:r>
            <w:r w:rsidRPr="003562D2">
              <w:rPr>
                <w:rFonts w:eastAsia="Times New Roman" w:cs="Calibri"/>
                <w:color w:val="000000"/>
                <w:sz w:val="20"/>
                <w:szCs w:val="20"/>
                <w:lang w:eastAsia="en-GB"/>
              </w:rPr>
              <w:tab/>
            </w:r>
          </w:p>
          <w:p w:rsidR="005A0439" w:rsidRPr="003562D2" w:rsidRDefault="005A0439" w:rsidP="00AF3EAE">
            <w:pPr>
              <w:spacing w:after="0" w:line="240" w:lineRule="auto"/>
              <w:rPr>
                <w:rFonts w:eastAsia="Times New Roman" w:cs="Calibri"/>
                <w:color w:val="000000"/>
                <w:sz w:val="20"/>
                <w:szCs w:val="20"/>
                <w:highlight w:val="yellow"/>
                <w:lang w:eastAsia="en-GB"/>
              </w:rPr>
            </w:pPr>
          </w:p>
        </w:tc>
      </w:tr>
      <w:tr w:rsidR="005A0439" w:rsidRPr="003562D2" w:rsidTr="00AF3EAE">
        <w:trPr>
          <w:cantSplit/>
          <w:trHeight w:val="293"/>
        </w:trPr>
        <w:tc>
          <w:tcPr>
            <w:tcW w:w="540" w:type="dxa"/>
            <w:tcBorders>
              <w:top w:val="nil"/>
              <w:left w:val="single" w:sz="8" w:space="0" w:color="auto"/>
              <w:bottom w:val="single" w:sz="4"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19</w:t>
            </w:r>
          </w:p>
        </w:tc>
        <w:tc>
          <w:tcPr>
            <w:tcW w:w="9207" w:type="dxa"/>
            <w:tcBorders>
              <w:top w:val="nil"/>
              <w:left w:val="nil"/>
              <w:bottom w:val="single" w:sz="4"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safeguard and enhance opportunities for local food production by protecting the best and most versatile agricultural land, small holdings and allotments and facilitating other initiatives such as community orchards and gardens</w:t>
            </w:r>
          </w:p>
        </w:tc>
      </w:tr>
      <w:tr w:rsidR="005A0439" w:rsidRPr="003562D2" w:rsidTr="00AF3EAE">
        <w:trPr>
          <w:cantSplit/>
          <w:trHeight w:val="293"/>
        </w:trPr>
        <w:tc>
          <w:tcPr>
            <w:tcW w:w="540" w:type="dxa"/>
            <w:tcBorders>
              <w:top w:val="nil"/>
              <w:left w:val="single" w:sz="8" w:space="0" w:color="auto"/>
              <w:bottom w:val="single" w:sz="4" w:space="0" w:color="auto"/>
              <w:right w:val="single" w:sz="4" w:space="0" w:color="auto"/>
            </w:tcBorders>
            <w:shd w:val="clear" w:color="000000" w:fill="C4D79B"/>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20</w:t>
            </w:r>
          </w:p>
        </w:tc>
        <w:tc>
          <w:tcPr>
            <w:tcW w:w="9207" w:type="dxa"/>
            <w:tcBorders>
              <w:top w:val="nil"/>
              <w:left w:val="nil"/>
              <w:bottom w:val="single" w:sz="4" w:space="0" w:color="auto"/>
              <w:right w:val="single" w:sz="8" w:space="0" w:color="auto"/>
            </w:tcBorders>
            <w:shd w:val="clear" w:color="auto" w:fill="auto"/>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promote the development of local businesses which are appropriate in scale to the rural context of Watlington and provide increased employment opportunity</w:t>
            </w:r>
          </w:p>
        </w:tc>
      </w:tr>
      <w:tr w:rsidR="005A0439" w:rsidRPr="003562D2" w:rsidTr="00AF3EAE">
        <w:trPr>
          <w:cantSplit/>
          <w:trHeight w:val="293"/>
        </w:trPr>
        <w:tc>
          <w:tcPr>
            <w:tcW w:w="540" w:type="dxa"/>
            <w:tcBorders>
              <w:top w:val="nil"/>
              <w:left w:val="single" w:sz="8" w:space="0" w:color="auto"/>
              <w:bottom w:val="single" w:sz="4" w:space="0" w:color="auto"/>
              <w:right w:val="single" w:sz="4" w:space="0" w:color="auto"/>
            </w:tcBorders>
            <w:shd w:val="clear" w:color="000000" w:fill="C4D79B"/>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21</w:t>
            </w:r>
          </w:p>
        </w:tc>
        <w:tc>
          <w:tcPr>
            <w:tcW w:w="9207" w:type="dxa"/>
            <w:tcBorders>
              <w:top w:val="nil"/>
              <w:left w:val="nil"/>
              <w:bottom w:val="single" w:sz="4" w:space="0" w:color="auto"/>
              <w:right w:val="single" w:sz="8" w:space="0" w:color="auto"/>
            </w:tcBorders>
            <w:shd w:val="clear" w:color="auto" w:fill="auto"/>
          </w:tcPr>
          <w:p w:rsidR="005A0439" w:rsidRPr="003562D2" w:rsidRDefault="005A0439" w:rsidP="00AF3EAE">
            <w:pPr>
              <w:spacing w:after="0" w:line="240" w:lineRule="auto"/>
              <w:rPr>
                <w:rFonts w:eastAsia="Times New Roman" w:cs="Calibri"/>
                <w:color w:val="000000"/>
                <w:sz w:val="20"/>
                <w:szCs w:val="20"/>
                <w:highlight w:val="yellow"/>
                <w:lang w:eastAsia="en-GB"/>
              </w:rPr>
            </w:pPr>
            <w:r w:rsidRPr="003562D2">
              <w:rPr>
                <w:rFonts w:eastAsia="Times New Roman" w:cs="Calibri"/>
                <w:color w:val="000000"/>
                <w:sz w:val="20"/>
                <w:szCs w:val="20"/>
                <w:lang w:eastAsia="en-GB"/>
              </w:rPr>
              <w:t>To support provision for home workers together with support networks for small businesses</w:t>
            </w:r>
          </w:p>
        </w:tc>
      </w:tr>
      <w:tr w:rsidR="005A0439" w:rsidRPr="003562D2" w:rsidTr="00AF3EAE">
        <w:trPr>
          <w:cantSplit/>
          <w:trHeight w:val="539"/>
        </w:trPr>
        <w:tc>
          <w:tcPr>
            <w:tcW w:w="540" w:type="dxa"/>
            <w:tcBorders>
              <w:top w:val="nil"/>
              <w:left w:val="single" w:sz="8" w:space="0" w:color="auto"/>
              <w:bottom w:val="single" w:sz="8" w:space="0" w:color="auto"/>
              <w:right w:val="single" w:sz="4" w:space="0" w:color="auto"/>
            </w:tcBorders>
            <w:shd w:val="clear" w:color="000000" w:fill="C4D79B"/>
            <w:hideMark/>
          </w:tcPr>
          <w:p w:rsidR="005A0439" w:rsidRPr="003562D2" w:rsidRDefault="00237106" w:rsidP="00AF3EAE">
            <w:pPr>
              <w:spacing w:after="0" w:line="240" w:lineRule="auto"/>
              <w:rPr>
                <w:rFonts w:eastAsia="Times New Roman" w:cs="Calibri"/>
                <w:color w:val="000000"/>
                <w:sz w:val="20"/>
                <w:szCs w:val="20"/>
                <w:highlight w:val="yellow"/>
                <w:lang w:eastAsia="en-GB"/>
              </w:rPr>
            </w:pPr>
            <w:r>
              <w:rPr>
                <w:rFonts w:eastAsia="Times New Roman" w:cs="Calibri"/>
                <w:color w:val="000000"/>
                <w:sz w:val="20"/>
                <w:szCs w:val="20"/>
                <w:lang w:eastAsia="en-GB"/>
              </w:rPr>
              <w:t>SO</w:t>
            </w:r>
            <w:r w:rsidR="005A0439" w:rsidRPr="003562D2">
              <w:rPr>
                <w:rFonts w:eastAsia="Times New Roman" w:cs="Calibri"/>
                <w:color w:val="000000"/>
                <w:sz w:val="20"/>
                <w:szCs w:val="20"/>
                <w:lang w:eastAsia="en-GB"/>
              </w:rPr>
              <w:t>22</w:t>
            </w:r>
          </w:p>
        </w:tc>
        <w:tc>
          <w:tcPr>
            <w:tcW w:w="9207" w:type="dxa"/>
            <w:tcBorders>
              <w:top w:val="nil"/>
              <w:left w:val="nil"/>
              <w:bottom w:val="single" w:sz="8" w:space="0" w:color="auto"/>
              <w:right w:val="single" w:sz="8" w:space="0" w:color="auto"/>
            </w:tcBorders>
            <w:shd w:val="clear" w:color="auto" w:fill="auto"/>
            <w:hideMark/>
          </w:tcPr>
          <w:p w:rsidR="005A0439" w:rsidRPr="003562D2" w:rsidRDefault="005A0439" w:rsidP="00AF3EAE">
            <w:pPr>
              <w:spacing w:after="0" w:line="240" w:lineRule="auto"/>
              <w:rPr>
                <w:rFonts w:eastAsia="Times New Roman" w:cs="Calibri"/>
                <w:color w:val="000000"/>
                <w:sz w:val="20"/>
                <w:szCs w:val="20"/>
                <w:lang w:eastAsia="en-GB"/>
              </w:rPr>
            </w:pPr>
            <w:r w:rsidRPr="003562D2">
              <w:rPr>
                <w:rFonts w:eastAsia="Times New Roman" w:cs="Calibri"/>
                <w:color w:val="000000"/>
                <w:sz w:val="20"/>
                <w:szCs w:val="20"/>
                <w:lang w:eastAsia="en-GB"/>
              </w:rPr>
              <w:t>To support the growth of Watlington as a thriving commercial hub in maintaining and enhancing the vitality of our settlements within the Parish and other nearby communities</w:t>
            </w:r>
          </w:p>
        </w:tc>
      </w:tr>
    </w:tbl>
    <w:p w:rsidR="005A0439" w:rsidRPr="00F4424F" w:rsidRDefault="005A0439" w:rsidP="00F4424F">
      <w:pPr>
        <w:rPr>
          <w:lang w:eastAsia="en-GB"/>
        </w:rPr>
      </w:pPr>
    </w:p>
    <w:sectPr w:rsidR="005A0439" w:rsidRPr="00F4424F" w:rsidSect="005A0942">
      <w:footerReference w:type="default" r:id="rId16"/>
      <w:endnotePr>
        <w:numFmt w:val="decimal"/>
      </w:endnotePr>
      <w:pgSz w:w="11907" w:h="16839" w:code="9"/>
      <w:pgMar w:top="1440" w:right="1080" w:bottom="1440" w:left="1080" w:header="720" w:footer="725" w:gutter="0"/>
      <w:pgBorders w:offsetFrom="page">
        <w:top w:val="single" w:sz="12" w:space="24" w:color="4F6228"/>
        <w:left w:val="single" w:sz="12" w:space="24" w:color="4F6228"/>
        <w:bottom w:val="single" w:sz="12" w:space="24" w:color="4F6228"/>
        <w:right w:val="single" w:sz="12" w:space="24" w:color="4F6228"/>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755" w:rsidRDefault="00B13755" w:rsidP="00161E03">
      <w:r>
        <w:separator/>
      </w:r>
    </w:p>
  </w:endnote>
  <w:endnote w:type="continuationSeparator" w:id="0">
    <w:p w:rsidR="00B13755" w:rsidRDefault="00B13755" w:rsidP="00161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E Inspira">
    <w:altName w:val="Calibri"/>
    <w:charset w:val="00"/>
    <w:family w:val="swiss"/>
    <w:pitch w:val="variable"/>
    <w:sig w:usb0="00000001"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TT10Ao00">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21D" w:rsidRDefault="00B13755" w:rsidP="00A36876">
    <w:pPr>
      <w:pStyle w:val="Footer"/>
      <w:ind w:firstLine="2"/>
    </w:pPr>
    <w:sdt>
      <w:sdtPr>
        <w:id w:val="-701166766"/>
        <w:docPartObj>
          <w:docPartGallery w:val="Page Numbers (Bottom of Page)"/>
          <w:docPartUnique/>
        </w:docPartObj>
      </w:sdtPr>
      <w:sdtEndPr/>
      <w:sdtContent>
        <w:sdt>
          <w:sdtPr>
            <w:id w:val="-1980293956"/>
            <w:docPartObj>
              <w:docPartGallery w:val="Page Numbers (Top of Page)"/>
              <w:docPartUnique/>
            </w:docPartObj>
          </w:sdtPr>
          <w:sdtEndPr/>
          <w:sdtContent>
            <w:r w:rsidR="00D0021D">
              <w:t xml:space="preserve">Page </w:t>
            </w:r>
            <w:r w:rsidR="00D0021D" w:rsidRPr="00717851">
              <w:rPr>
                <w:bCs/>
                <w:sz w:val="24"/>
                <w:szCs w:val="24"/>
              </w:rPr>
              <w:fldChar w:fldCharType="begin"/>
            </w:r>
            <w:r w:rsidR="00D0021D" w:rsidRPr="00717851">
              <w:rPr>
                <w:bCs/>
              </w:rPr>
              <w:instrText xml:space="preserve"> PAGE </w:instrText>
            </w:r>
            <w:r w:rsidR="00D0021D" w:rsidRPr="00717851">
              <w:rPr>
                <w:bCs/>
                <w:sz w:val="24"/>
                <w:szCs w:val="24"/>
              </w:rPr>
              <w:fldChar w:fldCharType="separate"/>
            </w:r>
            <w:r w:rsidR="00383781">
              <w:rPr>
                <w:bCs/>
                <w:noProof/>
              </w:rPr>
              <w:t>2</w:t>
            </w:r>
            <w:r w:rsidR="00D0021D" w:rsidRPr="00717851">
              <w:rPr>
                <w:bCs/>
                <w:sz w:val="24"/>
                <w:szCs w:val="24"/>
              </w:rPr>
              <w:fldChar w:fldCharType="end"/>
            </w:r>
            <w:r w:rsidR="00D0021D">
              <w:t xml:space="preserve"> of </w:t>
            </w:r>
            <w:r w:rsidR="00D0021D" w:rsidRPr="00717851">
              <w:rPr>
                <w:bCs/>
                <w:sz w:val="24"/>
                <w:szCs w:val="24"/>
              </w:rPr>
              <w:fldChar w:fldCharType="begin"/>
            </w:r>
            <w:r w:rsidR="00D0021D" w:rsidRPr="00717851">
              <w:rPr>
                <w:bCs/>
                <w:sz w:val="24"/>
                <w:szCs w:val="24"/>
              </w:rPr>
              <w:instrText xml:space="preserve"> NUMPAGES  \* Arabic  \* MERGEFORMAT </w:instrText>
            </w:r>
            <w:r w:rsidR="00D0021D" w:rsidRPr="00717851">
              <w:rPr>
                <w:bCs/>
                <w:sz w:val="24"/>
                <w:szCs w:val="24"/>
              </w:rPr>
              <w:fldChar w:fldCharType="separate"/>
            </w:r>
            <w:r w:rsidR="00383781">
              <w:rPr>
                <w:bCs/>
                <w:noProof/>
                <w:sz w:val="24"/>
                <w:szCs w:val="24"/>
              </w:rPr>
              <w:t>2</w:t>
            </w:r>
            <w:r w:rsidR="00D0021D" w:rsidRPr="00717851">
              <w:rPr>
                <w:bCs/>
                <w:sz w:val="24"/>
                <w:szCs w:val="24"/>
              </w:rPr>
              <w:fldChar w:fldCharType="end"/>
            </w:r>
            <w:r w:rsidR="00D0021D">
              <w:rPr>
                <w:bCs/>
                <w:sz w:val="24"/>
                <w:szCs w:val="24"/>
              </w:rPr>
              <w:tab/>
            </w:r>
            <w:r w:rsidR="009E31F4">
              <w:rPr>
                <w:bCs/>
                <w:sz w:val="24"/>
                <w:szCs w:val="24"/>
              </w:rPr>
              <w:tab/>
            </w:r>
          </w:sdtContent>
        </w:sdt>
      </w:sdtContent>
    </w:sdt>
    <w:r w:rsidR="00D0021D">
      <w:t>WNDP 2</w:t>
    </w:r>
  </w:p>
  <w:p w:rsidR="00D0021D" w:rsidRDefault="00D0021D" w:rsidP="00717851">
    <w:pPr>
      <w:pStyle w:val="Footer"/>
      <w:ind w:firstLine="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755" w:rsidRDefault="00B13755" w:rsidP="00161E03">
      <w:r>
        <w:separator/>
      </w:r>
    </w:p>
  </w:footnote>
  <w:footnote w:type="continuationSeparator" w:id="0">
    <w:p w:rsidR="00B13755" w:rsidRDefault="00B13755" w:rsidP="00161E03">
      <w:r>
        <w:separator/>
      </w:r>
    </w:p>
  </w:footnote>
  <w:footnote w:type="continuationNotice" w:id="1">
    <w:p w:rsidR="00B13755" w:rsidRDefault="00B13755" w:rsidP="00161E03">
      <w:r>
        <w:t>(footnote continued)</w:t>
      </w:r>
    </w:p>
  </w:footnote>
  <w:footnote w:id="2">
    <w:p w:rsidR="00201C7B" w:rsidRDefault="00201C7B" w:rsidP="00201C7B">
      <w:pPr>
        <w:pStyle w:val="FootnoteText"/>
      </w:pPr>
      <w:r>
        <w:rPr>
          <w:rStyle w:val="FootnoteReference"/>
        </w:rPr>
        <w:footnoteRef/>
      </w:r>
      <w:r>
        <w:t xml:space="preserve"> UCL’s DataShine Commute: http://commute.datashine.org.uk</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4560C89"/>
    <w:multiLevelType w:val="hybridMultilevel"/>
    <w:tmpl w:val="18CCB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1A6389"/>
    <w:multiLevelType w:val="hybridMultilevel"/>
    <w:tmpl w:val="97D8A636"/>
    <w:styleLink w:val="Lettered"/>
    <w:lvl w:ilvl="0" w:tplc="0690131E">
      <w:start w:val="1"/>
      <w:numFmt w:val="lowerLetter"/>
      <w:lvlText w:val="%1."/>
      <w:lvlJc w:val="left"/>
      <w:pPr>
        <w:ind w:left="52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CA213C">
      <w:start w:val="1"/>
      <w:numFmt w:val="lowerLetter"/>
      <w:lvlText w:val="%2."/>
      <w:lvlJc w:val="left"/>
      <w:pPr>
        <w:ind w:left="88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B8D988">
      <w:start w:val="1"/>
      <w:numFmt w:val="lowerLetter"/>
      <w:lvlText w:val="%3."/>
      <w:lvlJc w:val="left"/>
      <w:pPr>
        <w:ind w:left="124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C0261A">
      <w:start w:val="1"/>
      <w:numFmt w:val="lowerLetter"/>
      <w:lvlText w:val="%4."/>
      <w:lvlJc w:val="left"/>
      <w:pPr>
        <w:ind w:left="160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6C1DF0">
      <w:start w:val="1"/>
      <w:numFmt w:val="lowerLetter"/>
      <w:lvlText w:val="%5."/>
      <w:lvlJc w:val="left"/>
      <w:pPr>
        <w:ind w:left="196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1A8C44">
      <w:start w:val="1"/>
      <w:numFmt w:val="lowerLetter"/>
      <w:lvlText w:val="%6."/>
      <w:lvlJc w:val="left"/>
      <w:pPr>
        <w:ind w:left="232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5ACE2A">
      <w:start w:val="1"/>
      <w:numFmt w:val="lowerLetter"/>
      <w:lvlText w:val="%7."/>
      <w:lvlJc w:val="left"/>
      <w:pPr>
        <w:ind w:left="268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222DAA6">
      <w:start w:val="1"/>
      <w:numFmt w:val="lowerLetter"/>
      <w:lvlText w:val="%8."/>
      <w:lvlJc w:val="left"/>
      <w:pPr>
        <w:ind w:left="304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481AE">
      <w:start w:val="1"/>
      <w:numFmt w:val="lowerLetter"/>
      <w:lvlText w:val="%9."/>
      <w:lvlJc w:val="left"/>
      <w:pPr>
        <w:ind w:left="340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6842459"/>
    <w:multiLevelType w:val="hybridMultilevel"/>
    <w:tmpl w:val="37225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7D7730"/>
    <w:multiLevelType w:val="hybridMultilevel"/>
    <w:tmpl w:val="71289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752B7F"/>
    <w:multiLevelType w:val="multilevel"/>
    <w:tmpl w:val="29749826"/>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1002"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6">
    <w:nsid w:val="0D553A1B"/>
    <w:multiLevelType w:val="hybridMultilevel"/>
    <w:tmpl w:val="B8E83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3932FD"/>
    <w:multiLevelType w:val="hybridMultilevel"/>
    <w:tmpl w:val="91DC1E66"/>
    <w:lvl w:ilvl="0" w:tplc="C8F28FDA">
      <w:start w:val="1"/>
      <w:numFmt w:val="decimal"/>
      <w:pStyle w:val="FigureCaption"/>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6462D4"/>
    <w:multiLevelType w:val="hybridMultilevel"/>
    <w:tmpl w:val="39C81F98"/>
    <w:lvl w:ilvl="0" w:tplc="62FCB8B2">
      <w:start w:val="1"/>
      <w:numFmt w:val="decimal"/>
      <w:pStyle w:val="ListNumber"/>
      <w:lvlText w:val="%1."/>
      <w:lvlJc w:val="left"/>
      <w:pPr>
        <w:ind w:left="1074" w:hanging="360"/>
      </w:pPr>
      <w:rPr>
        <w:rFonts w:hint="default"/>
        <w:spacing w:val="-1"/>
        <w:sz w:val="20"/>
        <w:szCs w:val="22"/>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9">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91E2443"/>
    <w:multiLevelType w:val="multilevel"/>
    <w:tmpl w:val="254668F4"/>
    <w:styleLink w:val="Appendices"/>
    <w:lvl w:ilvl="0">
      <w:start w:val="1"/>
      <w:numFmt w:val="upperLetter"/>
      <w:lvlText w:val="Appendix %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1">
    <w:nsid w:val="323F499C"/>
    <w:multiLevelType w:val="multilevel"/>
    <w:tmpl w:val="B28645B2"/>
    <w:lvl w:ilvl="0">
      <w:start w:val="1"/>
      <w:numFmt w:val="upperLetter"/>
      <w:pStyle w:val="AppTitle"/>
      <w:lvlText w:val="Appendix %1:"/>
      <w:lvlJc w:val="left"/>
      <w:pPr>
        <w:ind w:left="4678" w:hanging="2835"/>
      </w:pPr>
      <w:rPr>
        <w:rFonts w:hint="default"/>
        <w:color w:val="4F6228"/>
      </w:rPr>
    </w:lvl>
    <w:lvl w:ilvl="1">
      <w:start w:val="1"/>
      <w:numFmt w:val="decimal"/>
      <w:pStyle w:val="Apphead1"/>
      <w:lvlText w:val="%1%2"/>
      <w:lvlJc w:val="left"/>
      <w:pPr>
        <w:ind w:left="862"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Head2"/>
      <w:lvlText w:val="%1%2.%3"/>
      <w:lvlJc w:val="left"/>
      <w:pPr>
        <w:ind w:left="1145"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2">
    <w:nsid w:val="4B302D7B"/>
    <w:multiLevelType w:val="hybridMultilevel"/>
    <w:tmpl w:val="F76A2A26"/>
    <w:styleLink w:val="Bullet"/>
    <w:lvl w:ilvl="0" w:tplc="3D52C1EA">
      <w:start w:val="1"/>
      <w:numFmt w:val="bullet"/>
      <w:lvlText w:val="*"/>
      <w:lvlJc w:val="left"/>
      <w:pPr>
        <w:ind w:left="26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376CEB2">
      <w:start w:val="1"/>
      <w:numFmt w:val="bullet"/>
      <w:lvlText w:val="*"/>
      <w:lvlJc w:val="left"/>
      <w:pPr>
        <w:ind w:left="44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E6B06">
      <w:start w:val="1"/>
      <w:numFmt w:val="bullet"/>
      <w:lvlText w:val="*"/>
      <w:lvlJc w:val="left"/>
      <w:pPr>
        <w:ind w:left="62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664452">
      <w:start w:val="1"/>
      <w:numFmt w:val="bullet"/>
      <w:lvlText w:val="*"/>
      <w:lvlJc w:val="left"/>
      <w:pPr>
        <w:ind w:left="80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38213A">
      <w:start w:val="1"/>
      <w:numFmt w:val="bullet"/>
      <w:lvlText w:val="*"/>
      <w:lvlJc w:val="left"/>
      <w:pPr>
        <w:ind w:left="98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187D60">
      <w:start w:val="1"/>
      <w:numFmt w:val="bullet"/>
      <w:lvlText w:val="*"/>
      <w:lvlJc w:val="left"/>
      <w:pPr>
        <w:ind w:left="116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F2B944">
      <w:start w:val="1"/>
      <w:numFmt w:val="bullet"/>
      <w:lvlText w:val="*"/>
      <w:lvlJc w:val="left"/>
      <w:pPr>
        <w:ind w:left="134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FCC402">
      <w:start w:val="1"/>
      <w:numFmt w:val="bullet"/>
      <w:lvlText w:val="*"/>
      <w:lvlJc w:val="left"/>
      <w:pPr>
        <w:ind w:left="152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64F70">
      <w:start w:val="1"/>
      <w:numFmt w:val="bullet"/>
      <w:lvlText w:val="*"/>
      <w:lvlJc w:val="left"/>
      <w:pPr>
        <w:ind w:left="1702" w:hanging="262"/>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512821FD"/>
    <w:multiLevelType w:val="hybridMultilevel"/>
    <w:tmpl w:val="2D5EB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20D76DD"/>
    <w:multiLevelType w:val="hybridMultilevel"/>
    <w:tmpl w:val="AE96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AE12951"/>
    <w:multiLevelType w:val="hybridMultilevel"/>
    <w:tmpl w:val="AB30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4FB4AC3"/>
    <w:multiLevelType w:val="hybridMultilevel"/>
    <w:tmpl w:val="14B6CBE8"/>
    <w:lvl w:ilvl="0" w:tplc="113ED79C">
      <w:start w:val="1"/>
      <w:numFmt w:val="bullet"/>
      <w:pStyle w:val="BulletPoin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7AE3A10"/>
    <w:multiLevelType w:val="hybridMultilevel"/>
    <w:tmpl w:val="81B2EEA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8">
    <w:nsid w:val="754A63AD"/>
    <w:multiLevelType w:val="hybridMultilevel"/>
    <w:tmpl w:val="53E86936"/>
    <w:lvl w:ilvl="0" w:tplc="DAB4E4C8">
      <w:start w:val="1"/>
      <w:numFmt w:val="lowerLetter"/>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78AD4BE3"/>
    <w:multiLevelType w:val="hybridMultilevel"/>
    <w:tmpl w:val="041CEC16"/>
    <w:styleLink w:val="Lettered3"/>
    <w:lvl w:ilvl="0" w:tplc="BCCC8536">
      <w:start w:val="1"/>
      <w:numFmt w:val="lowerRoman"/>
      <w:lvlText w:val="%1."/>
      <w:lvlJc w:val="left"/>
      <w:pPr>
        <w:ind w:left="4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34EA16">
      <w:start w:val="1"/>
      <w:numFmt w:val="lowerRoman"/>
      <w:lvlText w:val="%2."/>
      <w:lvlJc w:val="left"/>
      <w:pPr>
        <w:ind w:left="8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3C1E24">
      <w:start w:val="1"/>
      <w:numFmt w:val="lowerRoman"/>
      <w:lvlText w:val="%3."/>
      <w:lvlJc w:val="left"/>
      <w:pPr>
        <w:ind w:left="11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023F8A">
      <w:start w:val="1"/>
      <w:numFmt w:val="lowerRoman"/>
      <w:lvlText w:val="%4."/>
      <w:lvlJc w:val="left"/>
      <w:pPr>
        <w:ind w:left="15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CC8501C">
      <w:start w:val="1"/>
      <w:numFmt w:val="lowerRoman"/>
      <w:lvlText w:val="%5."/>
      <w:lvlJc w:val="left"/>
      <w:pPr>
        <w:ind w:left="189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ECC874">
      <w:start w:val="1"/>
      <w:numFmt w:val="lowerRoman"/>
      <w:lvlText w:val="%6."/>
      <w:lvlJc w:val="left"/>
      <w:pPr>
        <w:ind w:left="225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D8E42E">
      <w:start w:val="1"/>
      <w:numFmt w:val="lowerRoman"/>
      <w:lvlText w:val="%7."/>
      <w:lvlJc w:val="left"/>
      <w:pPr>
        <w:ind w:left="261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5ABA66">
      <w:start w:val="1"/>
      <w:numFmt w:val="lowerRoman"/>
      <w:lvlText w:val="%8."/>
      <w:lvlJc w:val="left"/>
      <w:pPr>
        <w:ind w:left="297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50D120">
      <w:start w:val="1"/>
      <w:numFmt w:val="lowerRoman"/>
      <w:lvlText w:val="%9."/>
      <w:lvlJc w:val="left"/>
      <w:pPr>
        <w:ind w:left="3338" w:hanging="4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7B083A07"/>
    <w:multiLevelType w:val="hybridMultilevel"/>
    <w:tmpl w:val="A5702166"/>
    <w:styleLink w:val="Numbered"/>
    <w:lvl w:ilvl="0" w:tplc="9A74D5E0">
      <w:start w:val="1"/>
      <w:numFmt w:val="decimal"/>
      <w:lvlText w:val="%1."/>
      <w:lvlJc w:val="left"/>
      <w:pPr>
        <w:ind w:left="52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D81F4E">
      <w:start w:val="1"/>
      <w:numFmt w:val="decimal"/>
      <w:lvlText w:val="%2."/>
      <w:lvlJc w:val="left"/>
      <w:pPr>
        <w:ind w:left="88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7ED596">
      <w:start w:val="1"/>
      <w:numFmt w:val="decimal"/>
      <w:lvlText w:val="%3."/>
      <w:lvlJc w:val="left"/>
      <w:pPr>
        <w:ind w:left="124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11EC206">
      <w:start w:val="1"/>
      <w:numFmt w:val="decimal"/>
      <w:lvlText w:val="%4."/>
      <w:lvlJc w:val="left"/>
      <w:pPr>
        <w:ind w:left="160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CA97B2">
      <w:start w:val="1"/>
      <w:numFmt w:val="decimal"/>
      <w:lvlText w:val="%5."/>
      <w:lvlJc w:val="left"/>
      <w:pPr>
        <w:ind w:left="196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58E7B4">
      <w:start w:val="1"/>
      <w:numFmt w:val="decimal"/>
      <w:lvlText w:val="%6."/>
      <w:lvlJc w:val="left"/>
      <w:pPr>
        <w:ind w:left="232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44B76">
      <w:start w:val="1"/>
      <w:numFmt w:val="decimal"/>
      <w:lvlText w:val="%7."/>
      <w:lvlJc w:val="left"/>
      <w:pPr>
        <w:ind w:left="268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B2F576">
      <w:start w:val="1"/>
      <w:numFmt w:val="decimal"/>
      <w:lvlText w:val="%8."/>
      <w:lvlJc w:val="left"/>
      <w:pPr>
        <w:ind w:left="304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E701712">
      <w:start w:val="1"/>
      <w:numFmt w:val="decimal"/>
      <w:lvlText w:val="%9."/>
      <w:lvlJc w:val="left"/>
      <w:pPr>
        <w:ind w:left="3404" w:hanging="5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9"/>
  </w:num>
  <w:num w:numId="3">
    <w:abstractNumId w:val="10"/>
  </w:num>
  <w:num w:numId="4">
    <w:abstractNumId w:val="16"/>
  </w:num>
  <w:num w:numId="5">
    <w:abstractNumId w:val="18"/>
  </w:num>
  <w:num w:numId="6">
    <w:abstractNumId w:val="8"/>
  </w:num>
  <w:num w:numId="7">
    <w:abstractNumId w:val="7"/>
  </w:num>
  <w:num w:numId="8">
    <w:abstractNumId w:val="5"/>
  </w:num>
  <w:num w:numId="9">
    <w:abstractNumId w:val="11"/>
  </w:num>
  <w:num w:numId="10">
    <w:abstractNumId w:val="2"/>
  </w:num>
  <w:num w:numId="11">
    <w:abstractNumId w:val="20"/>
  </w:num>
  <w:num w:numId="12">
    <w:abstractNumId w:val="12"/>
  </w:num>
  <w:num w:numId="13">
    <w:abstractNumId w:val="19"/>
  </w:num>
  <w:num w:numId="14">
    <w:abstractNumId w:val="15"/>
  </w:num>
  <w:num w:numId="15">
    <w:abstractNumId w:val="1"/>
  </w:num>
  <w:num w:numId="16">
    <w:abstractNumId w:val="17"/>
  </w:num>
  <w:num w:numId="17">
    <w:abstractNumId w:val="6"/>
  </w:num>
  <w:num w:numId="18">
    <w:abstractNumId w:val="3"/>
  </w:num>
  <w:num w:numId="19">
    <w:abstractNumId w:val="13"/>
  </w:num>
  <w:num w:numId="20">
    <w:abstractNumId w:val="14"/>
  </w:num>
  <w:num w:numId="21">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128"/>
    <w:rsid w:val="000012C4"/>
    <w:rsid w:val="00002122"/>
    <w:rsid w:val="000050AC"/>
    <w:rsid w:val="00005466"/>
    <w:rsid w:val="00005CCA"/>
    <w:rsid w:val="00006DFA"/>
    <w:rsid w:val="00010E4E"/>
    <w:rsid w:val="0001303E"/>
    <w:rsid w:val="000137FD"/>
    <w:rsid w:val="0001418D"/>
    <w:rsid w:val="00016E17"/>
    <w:rsid w:val="00022262"/>
    <w:rsid w:val="00023372"/>
    <w:rsid w:val="00026362"/>
    <w:rsid w:val="0002656C"/>
    <w:rsid w:val="00027635"/>
    <w:rsid w:val="000279CF"/>
    <w:rsid w:val="00027B99"/>
    <w:rsid w:val="00030266"/>
    <w:rsid w:val="00030406"/>
    <w:rsid w:val="0003086B"/>
    <w:rsid w:val="0003093E"/>
    <w:rsid w:val="00032224"/>
    <w:rsid w:val="00032A3B"/>
    <w:rsid w:val="00033F9B"/>
    <w:rsid w:val="000350F6"/>
    <w:rsid w:val="00035178"/>
    <w:rsid w:val="000418DB"/>
    <w:rsid w:val="00041BAF"/>
    <w:rsid w:val="000433F4"/>
    <w:rsid w:val="000437D9"/>
    <w:rsid w:val="000438ED"/>
    <w:rsid w:val="000440D3"/>
    <w:rsid w:val="00044CB0"/>
    <w:rsid w:val="00046FE8"/>
    <w:rsid w:val="0004782D"/>
    <w:rsid w:val="00051325"/>
    <w:rsid w:val="00051657"/>
    <w:rsid w:val="000524F0"/>
    <w:rsid w:val="00054218"/>
    <w:rsid w:val="00056182"/>
    <w:rsid w:val="00057856"/>
    <w:rsid w:val="00060106"/>
    <w:rsid w:val="000603E8"/>
    <w:rsid w:val="0006300E"/>
    <w:rsid w:val="0006399A"/>
    <w:rsid w:val="000656C9"/>
    <w:rsid w:val="000664B3"/>
    <w:rsid w:val="00066D0E"/>
    <w:rsid w:val="00067818"/>
    <w:rsid w:val="00070A88"/>
    <w:rsid w:val="000725FB"/>
    <w:rsid w:val="00072AE1"/>
    <w:rsid w:val="000766F1"/>
    <w:rsid w:val="00076F30"/>
    <w:rsid w:val="000774E0"/>
    <w:rsid w:val="000775B1"/>
    <w:rsid w:val="0008128E"/>
    <w:rsid w:val="00081B02"/>
    <w:rsid w:val="0008207C"/>
    <w:rsid w:val="0008218C"/>
    <w:rsid w:val="00083B30"/>
    <w:rsid w:val="00084AFA"/>
    <w:rsid w:val="00085E22"/>
    <w:rsid w:val="00086439"/>
    <w:rsid w:val="00090F23"/>
    <w:rsid w:val="00090FA5"/>
    <w:rsid w:val="0009145F"/>
    <w:rsid w:val="00091AC4"/>
    <w:rsid w:val="00092630"/>
    <w:rsid w:val="0009303B"/>
    <w:rsid w:val="0009520F"/>
    <w:rsid w:val="000956DC"/>
    <w:rsid w:val="00096D1B"/>
    <w:rsid w:val="000A147C"/>
    <w:rsid w:val="000A1527"/>
    <w:rsid w:val="000A28A8"/>
    <w:rsid w:val="000A3E03"/>
    <w:rsid w:val="000A5718"/>
    <w:rsid w:val="000A6F67"/>
    <w:rsid w:val="000B1055"/>
    <w:rsid w:val="000B2847"/>
    <w:rsid w:val="000B2DF8"/>
    <w:rsid w:val="000B485F"/>
    <w:rsid w:val="000B4DA0"/>
    <w:rsid w:val="000B5830"/>
    <w:rsid w:val="000B58A7"/>
    <w:rsid w:val="000B697D"/>
    <w:rsid w:val="000B6C67"/>
    <w:rsid w:val="000C0E13"/>
    <w:rsid w:val="000C2E13"/>
    <w:rsid w:val="000C3CBC"/>
    <w:rsid w:val="000C4CC7"/>
    <w:rsid w:val="000C56A2"/>
    <w:rsid w:val="000C5D76"/>
    <w:rsid w:val="000C6300"/>
    <w:rsid w:val="000C69C4"/>
    <w:rsid w:val="000C6AC2"/>
    <w:rsid w:val="000D1A42"/>
    <w:rsid w:val="000D2C11"/>
    <w:rsid w:val="000D2EDF"/>
    <w:rsid w:val="000D6919"/>
    <w:rsid w:val="000D7410"/>
    <w:rsid w:val="000E1F82"/>
    <w:rsid w:val="000E27F2"/>
    <w:rsid w:val="000E442C"/>
    <w:rsid w:val="000E5284"/>
    <w:rsid w:val="000E5A90"/>
    <w:rsid w:val="000E6615"/>
    <w:rsid w:val="000F08D1"/>
    <w:rsid w:val="000F1B97"/>
    <w:rsid w:val="000F2238"/>
    <w:rsid w:val="000F34D4"/>
    <w:rsid w:val="000F40E2"/>
    <w:rsid w:val="000F6DD6"/>
    <w:rsid w:val="000F741A"/>
    <w:rsid w:val="000F79FF"/>
    <w:rsid w:val="000F7D93"/>
    <w:rsid w:val="000F7FAB"/>
    <w:rsid w:val="0010043F"/>
    <w:rsid w:val="001004EC"/>
    <w:rsid w:val="001014F4"/>
    <w:rsid w:val="0010193F"/>
    <w:rsid w:val="00101D6A"/>
    <w:rsid w:val="00101D97"/>
    <w:rsid w:val="00102D2A"/>
    <w:rsid w:val="0010407E"/>
    <w:rsid w:val="001107FF"/>
    <w:rsid w:val="001116A0"/>
    <w:rsid w:val="00112BDA"/>
    <w:rsid w:val="001173CA"/>
    <w:rsid w:val="001178E6"/>
    <w:rsid w:val="00125087"/>
    <w:rsid w:val="00125B5B"/>
    <w:rsid w:val="001314B5"/>
    <w:rsid w:val="0013151B"/>
    <w:rsid w:val="00131A72"/>
    <w:rsid w:val="001328AA"/>
    <w:rsid w:val="00132FAB"/>
    <w:rsid w:val="001354E9"/>
    <w:rsid w:val="00142E54"/>
    <w:rsid w:val="00146DFC"/>
    <w:rsid w:val="0014777F"/>
    <w:rsid w:val="00147830"/>
    <w:rsid w:val="00150680"/>
    <w:rsid w:val="00151185"/>
    <w:rsid w:val="00151AE2"/>
    <w:rsid w:val="00152F1A"/>
    <w:rsid w:val="0015308C"/>
    <w:rsid w:val="0015431D"/>
    <w:rsid w:val="0015580B"/>
    <w:rsid w:val="00155AEA"/>
    <w:rsid w:val="001560E6"/>
    <w:rsid w:val="001566F2"/>
    <w:rsid w:val="001608D6"/>
    <w:rsid w:val="00160AC1"/>
    <w:rsid w:val="00160EBA"/>
    <w:rsid w:val="00161E03"/>
    <w:rsid w:val="00162169"/>
    <w:rsid w:val="00166497"/>
    <w:rsid w:val="00166780"/>
    <w:rsid w:val="00167E5F"/>
    <w:rsid w:val="00170B1A"/>
    <w:rsid w:val="001714F0"/>
    <w:rsid w:val="001725FD"/>
    <w:rsid w:val="0017488E"/>
    <w:rsid w:val="0017501D"/>
    <w:rsid w:val="001772EB"/>
    <w:rsid w:val="001804F2"/>
    <w:rsid w:val="001809D0"/>
    <w:rsid w:val="00180EAB"/>
    <w:rsid w:val="00181EA7"/>
    <w:rsid w:val="001823EE"/>
    <w:rsid w:val="0018357B"/>
    <w:rsid w:val="00183621"/>
    <w:rsid w:val="00185273"/>
    <w:rsid w:val="0018557D"/>
    <w:rsid w:val="00187584"/>
    <w:rsid w:val="00187CF2"/>
    <w:rsid w:val="00190214"/>
    <w:rsid w:val="001907CE"/>
    <w:rsid w:val="00191D6D"/>
    <w:rsid w:val="001941A7"/>
    <w:rsid w:val="00194E91"/>
    <w:rsid w:val="00195D26"/>
    <w:rsid w:val="001964A1"/>
    <w:rsid w:val="001965D2"/>
    <w:rsid w:val="001972EB"/>
    <w:rsid w:val="00197501"/>
    <w:rsid w:val="00197604"/>
    <w:rsid w:val="001A4CE2"/>
    <w:rsid w:val="001A51C6"/>
    <w:rsid w:val="001A6148"/>
    <w:rsid w:val="001A79C6"/>
    <w:rsid w:val="001B0917"/>
    <w:rsid w:val="001B0C1C"/>
    <w:rsid w:val="001B2734"/>
    <w:rsid w:val="001B273E"/>
    <w:rsid w:val="001B3AAF"/>
    <w:rsid w:val="001B4037"/>
    <w:rsid w:val="001B409F"/>
    <w:rsid w:val="001B540A"/>
    <w:rsid w:val="001B5F39"/>
    <w:rsid w:val="001B70E2"/>
    <w:rsid w:val="001C195A"/>
    <w:rsid w:val="001C1DB4"/>
    <w:rsid w:val="001C1E16"/>
    <w:rsid w:val="001C5EC0"/>
    <w:rsid w:val="001C5F9A"/>
    <w:rsid w:val="001C66BB"/>
    <w:rsid w:val="001D06BA"/>
    <w:rsid w:val="001D15EF"/>
    <w:rsid w:val="001D2075"/>
    <w:rsid w:val="001D22BC"/>
    <w:rsid w:val="001D2397"/>
    <w:rsid w:val="001D241B"/>
    <w:rsid w:val="001D24E9"/>
    <w:rsid w:val="001D25DC"/>
    <w:rsid w:val="001D3382"/>
    <w:rsid w:val="001D3BDF"/>
    <w:rsid w:val="001D46BE"/>
    <w:rsid w:val="001D61B7"/>
    <w:rsid w:val="001D674B"/>
    <w:rsid w:val="001D74F0"/>
    <w:rsid w:val="001D78F1"/>
    <w:rsid w:val="001E0899"/>
    <w:rsid w:val="001E0972"/>
    <w:rsid w:val="001E0C50"/>
    <w:rsid w:val="001E2F36"/>
    <w:rsid w:val="001E6E12"/>
    <w:rsid w:val="001E78FB"/>
    <w:rsid w:val="001F0793"/>
    <w:rsid w:val="001F07B1"/>
    <w:rsid w:val="001F0CEE"/>
    <w:rsid w:val="001F484C"/>
    <w:rsid w:val="001F49B3"/>
    <w:rsid w:val="001F5AE7"/>
    <w:rsid w:val="001F6654"/>
    <w:rsid w:val="002004C3"/>
    <w:rsid w:val="00201C7B"/>
    <w:rsid w:val="00205EBB"/>
    <w:rsid w:val="002073C9"/>
    <w:rsid w:val="002079FC"/>
    <w:rsid w:val="00210197"/>
    <w:rsid w:val="002113E9"/>
    <w:rsid w:val="00211555"/>
    <w:rsid w:val="0021216D"/>
    <w:rsid w:val="00212FD5"/>
    <w:rsid w:val="00214867"/>
    <w:rsid w:val="00215B9D"/>
    <w:rsid w:val="00226407"/>
    <w:rsid w:val="00226F2A"/>
    <w:rsid w:val="0022717E"/>
    <w:rsid w:val="00227BBA"/>
    <w:rsid w:val="00230EBD"/>
    <w:rsid w:val="00232A85"/>
    <w:rsid w:val="00232BD5"/>
    <w:rsid w:val="00233963"/>
    <w:rsid w:val="002339B5"/>
    <w:rsid w:val="002339FF"/>
    <w:rsid w:val="00235356"/>
    <w:rsid w:val="00236451"/>
    <w:rsid w:val="00237106"/>
    <w:rsid w:val="00237185"/>
    <w:rsid w:val="0024181F"/>
    <w:rsid w:val="00243272"/>
    <w:rsid w:val="00243492"/>
    <w:rsid w:val="00243EF2"/>
    <w:rsid w:val="0024438D"/>
    <w:rsid w:val="0024469D"/>
    <w:rsid w:val="00244897"/>
    <w:rsid w:val="00244AAB"/>
    <w:rsid w:val="00245167"/>
    <w:rsid w:val="00245A30"/>
    <w:rsid w:val="002505D3"/>
    <w:rsid w:val="00251581"/>
    <w:rsid w:val="002531E6"/>
    <w:rsid w:val="002534FE"/>
    <w:rsid w:val="00253FBA"/>
    <w:rsid w:val="00254AB6"/>
    <w:rsid w:val="002561D9"/>
    <w:rsid w:val="00260E13"/>
    <w:rsid w:val="00261ED5"/>
    <w:rsid w:val="00262186"/>
    <w:rsid w:val="00263044"/>
    <w:rsid w:val="0026318A"/>
    <w:rsid w:val="00263690"/>
    <w:rsid w:val="00263D99"/>
    <w:rsid w:val="00264DFD"/>
    <w:rsid w:val="00265B4F"/>
    <w:rsid w:val="002662FC"/>
    <w:rsid w:val="00266B9F"/>
    <w:rsid w:val="00267F18"/>
    <w:rsid w:val="00270E78"/>
    <w:rsid w:val="00271641"/>
    <w:rsid w:val="002739A9"/>
    <w:rsid w:val="00276913"/>
    <w:rsid w:val="00277945"/>
    <w:rsid w:val="00277BF4"/>
    <w:rsid w:val="00280431"/>
    <w:rsid w:val="0028111D"/>
    <w:rsid w:val="002827A4"/>
    <w:rsid w:val="00282FD6"/>
    <w:rsid w:val="00283331"/>
    <w:rsid w:val="00287E57"/>
    <w:rsid w:val="00291738"/>
    <w:rsid w:val="00292164"/>
    <w:rsid w:val="00292CE8"/>
    <w:rsid w:val="00293945"/>
    <w:rsid w:val="0029491F"/>
    <w:rsid w:val="00295519"/>
    <w:rsid w:val="00296A0A"/>
    <w:rsid w:val="002A07CB"/>
    <w:rsid w:val="002A0A34"/>
    <w:rsid w:val="002A0F5D"/>
    <w:rsid w:val="002A3869"/>
    <w:rsid w:val="002A4D72"/>
    <w:rsid w:val="002A55A7"/>
    <w:rsid w:val="002A69EF"/>
    <w:rsid w:val="002B0C50"/>
    <w:rsid w:val="002B0DD7"/>
    <w:rsid w:val="002B1306"/>
    <w:rsid w:val="002B2501"/>
    <w:rsid w:val="002B2513"/>
    <w:rsid w:val="002B2D10"/>
    <w:rsid w:val="002B2E3E"/>
    <w:rsid w:val="002B30CC"/>
    <w:rsid w:val="002B3352"/>
    <w:rsid w:val="002B46DA"/>
    <w:rsid w:val="002B57F9"/>
    <w:rsid w:val="002B5BA2"/>
    <w:rsid w:val="002C1EDB"/>
    <w:rsid w:val="002C3F29"/>
    <w:rsid w:val="002C54AA"/>
    <w:rsid w:val="002C5511"/>
    <w:rsid w:val="002C5B43"/>
    <w:rsid w:val="002D0B06"/>
    <w:rsid w:val="002D272E"/>
    <w:rsid w:val="002D4B14"/>
    <w:rsid w:val="002D4C57"/>
    <w:rsid w:val="002D56D5"/>
    <w:rsid w:val="002D61C2"/>
    <w:rsid w:val="002D76EF"/>
    <w:rsid w:val="002E14DB"/>
    <w:rsid w:val="002E1DA3"/>
    <w:rsid w:val="002E2B76"/>
    <w:rsid w:val="002E3715"/>
    <w:rsid w:val="002E45CB"/>
    <w:rsid w:val="002E5763"/>
    <w:rsid w:val="002E5981"/>
    <w:rsid w:val="002E6C53"/>
    <w:rsid w:val="002E79EA"/>
    <w:rsid w:val="002F03D4"/>
    <w:rsid w:val="002F116B"/>
    <w:rsid w:val="002F1217"/>
    <w:rsid w:val="002F530D"/>
    <w:rsid w:val="002F60FF"/>
    <w:rsid w:val="002F67EB"/>
    <w:rsid w:val="002F6AD1"/>
    <w:rsid w:val="002F72F5"/>
    <w:rsid w:val="002F730C"/>
    <w:rsid w:val="002F7850"/>
    <w:rsid w:val="00300943"/>
    <w:rsid w:val="003017E3"/>
    <w:rsid w:val="00301B95"/>
    <w:rsid w:val="00302228"/>
    <w:rsid w:val="003026C4"/>
    <w:rsid w:val="00304ED5"/>
    <w:rsid w:val="003053C5"/>
    <w:rsid w:val="00305446"/>
    <w:rsid w:val="00305ABE"/>
    <w:rsid w:val="00305E0D"/>
    <w:rsid w:val="0030734E"/>
    <w:rsid w:val="00307E52"/>
    <w:rsid w:val="00310534"/>
    <w:rsid w:val="003107E2"/>
    <w:rsid w:val="00310BB8"/>
    <w:rsid w:val="00313194"/>
    <w:rsid w:val="0031364F"/>
    <w:rsid w:val="003143F6"/>
    <w:rsid w:val="00314C31"/>
    <w:rsid w:val="0031607F"/>
    <w:rsid w:val="00316B54"/>
    <w:rsid w:val="00317CBE"/>
    <w:rsid w:val="00322B7A"/>
    <w:rsid w:val="00324098"/>
    <w:rsid w:val="00324713"/>
    <w:rsid w:val="00325149"/>
    <w:rsid w:val="00326038"/>
    <w:rsid w:val="003260C4"/>
    <w:rsid w:val="00326931"/>
    <w:rsid w:val="00326CE3"/>
    <w:rsid w:val="003272D9"/>
    <w:rsid w:val="0032735E"/>
    <w:rsid w:val="00327D81"/>
    <w:rsid w:val="003306DD"/>
    <w:rsid w:val="00332BAA"/>
    <w:rsid w:val="0033307D"/>
    <w:rsid w:val="00335D62"/>
    <w:rsid w:val="00335EF6"/>
    <w:rsid w:val="00336CBE"/>
    <w:rsid w:val="00336DD7"/>
    <w:rsid w:val="00342416"/>
    <w:rsid w:val="00344E62"/>
    <w:rsid w:val="00344FB7"/>
    <w:rsid w:val="00345994"/>
    <w:rsid w:val="00346896"/>
    <w:rsid w:val="00347828"/>
    <w:rsid w:val="003562D2"/>
    <w:rsid w:val="00357489"/>
    <w:rsid w:val="00357732"/>
    <w:rsid w:val="00357A7A"/>
    <w:rsid w:val="00357D2D"/>
    <w:rsid w:val="00360237"/>
    <w:rsid w:val="0036070A"/>
    <w:rsid w:val="003630A9"/>
    <w:rsid w:val="003630AF"/>
    <w:rsid w:val="00363445"/>
    <w:rsid w:val="00363974"/>
    <w:rsid w:val="00364E02"/>
    <w:rsid w:val="00367607"/>
    <w:rsid w:val="00367E35"/>
    <w:rsid w:val="00370B01"/>
    <w:rsid w:val="00371B78"/>
    <w:rsid w:val="00372894"/>
    <w:rsid w:val="003728E4"/>
    <w:rsid w:val="00373579"/>
    <w:rsid w:val="00373CC4"/>
    <w:rsid w:val="00374D9D"/>
    <w:rsid w:val="0037530E"/>
    <w:rsid w:val="0037532D"/>
    <w:rsid w:val="00376204"/>
    <w:rsid w:val="0037660A"/>
    <w:rsid w:val="00376DD0"/>
    <w:rsid w:val="00377CB0"/>
    <w:rsid w:val="00380506"/>
    <w:rsid w:val="00380EE5"/>
    <w:rsid w:val="00381ABB"/>
    <w:rsid w:val="00381ABC"/>
    <w:rsid w:val="00383781"/>
    <w:rsid w:val="003837C4"/>
    <w:rsid w:val="00383A3E"/>
    <w:rsid w:val="00385534"/>
    <w:rsid w:val="00386710"/>
    <w:rsid w:val="00387989"/>
    <w:rsid w:val="0039184A"/>
    <w:rsid w:val="003943DB"/>
    <w:rsid w:val="00394A3E"/>
    <w:rsid w:val="00395BD3"/>
    <w:rsid w:val="00395EEC"/>
    <w:rsid w:val="003960E2"/>
    <w:rsid w:val="003975C5"/>
    <w:rsid w:val="003A07EC"/>
    <w:rsid w:val="003A2CAB"/>
    <w:rsid w:val="003A3DDD"/>
    <w:rsid w:val="003A4355"/>
    <w:rsid w:val="003A6459"/>
    <w:rsid w:val="003A746B"/>
    <w:rsid w:val="003B0B3C"/>
    <w:rsid w:val="003B1481"/>
    <w:rsid w:val="003B1845"/>
    <w:rsid w:val="003B4425"/>
    <w:rsid w:val="003B49BA"/>
    <w:rsid w:val="003B4BA3"/>
    <w:rsid w:val="003B559E"/>
    <w:rsid w:val="003B5DA7"/>
    <w:rsid w:val="003B620C"/>
    <w:rsid w:val="003B6747"/>
    <w:rsid w:val="003B6DC4"/>
    <w:rsid w:val="003B77F4"/>
    <w:rsid w:val="003B7BFF"/>
    <w:rsid w:val="003C158A"/>
    <w:rsid w:val="003C1F63"/>
    <w:rsid w:val="003C391E"/>
    <w:rsid w:val="003C6538"/>
    <w:rsid w:val="003C6F82"/>
    <w:rsid w:val="003C7318"/>
    <w:rsid w:val="003C75F3"/>
    <w:rsid w:val="003C798E"/>
    <w:rsid w:val="003C7C03"/>
    <w:rsid w:val="003D0738"/>
    <w:rsid w:val="003D381E"/>
    <w:rsid w:val="003D48BA"/>
    <w:rsid w:val="003D7203"/>
    <w:rsid w:val="003D7588"/>
    <w:rsid w:val="003E071F"/>
    <w:rsid w:val="003E18A2"/>
    <w:rsid w:val="003E1963"/>
    <w:rsid w:val="003E221B"/>
    <w:rsid w:val="003E254B"/>
    <w:rsid w:val="003E2F1A"/>
    <w:rsid w:val="003E3071"/>
    <w:rsid w:val="003E664E"/>
    <w:rsid w:val="003F0C9B"/>
    <w:rsid w:val="003F2168"/>
    <w:rsid w:val="003F3C1D"/>
    <w:rsid w:val="003F4021"/>
    <w:rsid w:val="003F4D3B"/>
    <w:rsid w:val="003F54D1"/>
    <w:rsid w:val="003F5F6A"/>
    <w:rsid w:val="003F60A3"/>
    <w:rsid w:val="003F638C"/>
    <w:rsid w:val="003F6F49"/>
    <w:rsid w:val="003F727E"/>
    <w:rsid w:val="003F734B"/>
    <w:rsid w:val="004004D9"/>
    <w:rsid w:val="004017F9"/>
    <w:rsid w:val="00401E32"/>
    <w:rsid w:val="0040382C"/>
    <w:rsid w:val="00403FD8"/>
    <w:rsid w:val="0040490B"/>
    <w:rsid w:val="0040540A"/>
    <w:rsid w:val="0040553F"/>
    <w:rsid w:val="0040588C"/>
    <w:rsid w:val="004106D1"/>
    <w:rsid w:val="004107D0"/>
    <w:rsid w:val="00411040"/>
    <w:rsid w:val="00411DE9"/>
    <w:rsid w:val="00413E8B"/>
    <w:rsid w:val="0041465E"/>
    <w:rsid w:val="00416610"/>
    <w:rsid w:val="0041696A"/>
    <w:rsid w:val="004176CF"/>
    <w:rsid w:val="004176DA"/>
    <w:rsid w:val="0041780E"/>
    <w:rsid w:val="00417A67"/>
    <w:rsid w:val="00417BAB"/>
    <w:rsid w:val="00417D50"/>
    <w:rsid w:val="00420222"/>
    <w:rsid w:val="004203D1"/>
    <w:rsid w:val="004208F7"/>
    <w:rsid w:val="00422AC5"/>
    <w:rsid w:val="00423916"/>
    <w:rsid w:val="00426077"/>
    <w:rsid w:val="00426D67"/>
    <w:rsid w:val="00427034"/>
    <w:rsid w:val="00427803"/>
    <w:rsid w:val="004303B3"/>
    <w:rsid w:val="004329C0"/>
    <w:rsid w:val="00432CEC"/>
    <w:rsid w:val="00432F30"/>
    <w:rsid w:val="00433B47"/>
    <w:rsid w:val="00434DC8"/>
    <w:rsid w:val="00434FC8"/>
    <w:rsid w:val="004363C8"/>
    <w:rsid w:val="0043712E"/>
    <w:rsid w:val="00437463"/>
    <w:rsid w:val="00440DF0"/>
    <w:rsid w:val="0044130E"/>
    <w:rsid w:val="00443EAB"/>
    <w:rsid w:val="00443FA7"/>
    <w:rsid w:val="00445CE3"/>
    <w:rsid w:val="00446204"/>
    <w:rsid w:val="0044696E"/>
    <w:rsid w:val="00446BF4"/>
    <w:rsid w:val="00451C8D"/>
    <w:rsid w:val="00451CCA"/>
    <w:rsid w:val="0045277A"/>
    <w:rsid w:val="004565D9"/>
    <w:rsid w:val="0045760A"/>
    <w:rsid w:val="00457D69"/>
    <w:rsid w:val="00460ECB"/>
    <w:rsid w:val="0046111C"/>
    <w:rsid w:val="00463510"/>
    <w:rsid w:val="004646C4"/>
    <w:rsid w:val="00464EE3"/>
    <w:rsid w:val="00465A32"/>
    <w:rsid w:val="00465C95"/>
    <w:rsid w:val="00465E37"/>
    <w:rsid w:val="00470A32"/>
    <w:rsid w:val="00471EF9"/>
    <w:rsid w:val="004721D6"/>
    <w:rsid w:val="00472790"/>
    <w:rsid w:val="00473F98"/>
    <w:rsid w:val="00475CC8"/>
    <w:rsid w:val="00476A3B"/>
    <w:rsid w:val="004775B0"/>
    <w:rsid w:val="004800C5"/>
    <w:rsid w:val="00481120"/>
    <w:rsid w:val="00481383"/>
    <w:rsid w:val="004832A7"/>
    <w:rsid w:val="0048578E"/>
    <w:rsid w:val="0048619A"/>
    <w:rsid w:val="004864FA"/>
    <w:rsid w:val="00486689"/>
    <w:rsid w:val="00487312"/>
    <w:rsid w:val="004874B9"/>
    <w:rsid w:val="00490994"/>
    <w:rsid w:val="00491D4B"/>
    <w:rsid w:val="00493E2F"/>
    <w:rsid w:val="00495521"/>
    <w:rsid w:val="00496092"/>
    <w:rsid w:val="0049621C"/>
    <w:rsid w:val="004963DE"/>
    <w:rsid w:val="004967E9"/>
    <w:rsid w:val="00497960"/>
    <w:rsid w:val="00497B88"/>
    <w:rsid w:val="004A25D1"/>
    <w:rsid w:val="004A4E86"/>
    <w:rsid w:val="004A51BD"/>
    <w:rsid w:val="004A5EB2"/>
    <w:rsid w:val="004A75D4"/>
    <w:rsid w:val="004A7822"/>
    <w:rsid w:val="004B00EC"/>
    <w:rsid w:val="004B0A98"/>
    <w:rsid w:val="004B0FF1"/>
    <w:rsid w:val="004B5C96"/>
    <w:rsid w:val="004B6140"/>
    <w:rsid w:val="004B69D5"/>
    <w:rsid w:val="004B6AA6"/>
    <w:rsid w:val="004C037B"/>
    <w:rsid w:val="004C0D48"/>
    <w:rsid w:val="004C39B0"/>
    <w:rsid w:val="004C3FC2"/>
    <w:rsid w:val="004C3FF0"/>
    <w:rsid w:val="004C45EF"/>
    <w:rsid w:val="004C5211"/>
    <w:rsid w:val="004C5266"/>
    <w:rsid w:val="004C64E3"/>
    <w:rsid w:val="004C6EA6"/>
    <w:rsid w:val="004C6F35"/>
    <w:rsid w:val="004D1511"/>
    <w:rsid w:val="004D1E9B"/>
    <w:rsid w:val="004D2023"/>
    <w:rsid w:val="004D265F"/>
    <w:rsid w:val="004D2CD0"/>
    <w:rsid w:val="004D49A2"/>
    <w:rsid w:val="004D5EE9"/>
    <w:rsid w:val="004D647A"/>
    <w:rsid w:val="004D6BEC"/>
    <w:rsid w:val="004D6FF8"/>
    <w:rsid w:val="004D7A5C"/>
    <w:rsid w:val="004E0127"/>
    <w:rsid w:val="004E29E0"/>
    <w:rsid w:val="004E3D13"/>
    <w:rsid w:val="004E4046"/>
    <w:rsid w:val="004E5BAC"/>
    <w:rsid w:val="004E661B"/>
    <w:rsid w:val="004E798E"/>
    <w:rsid w:val="004F0B77"/>
    <w:rsid w:val="004F0D7E"/>
    <w:rsid w:val="004F25BD"/>
    <w:rsid w:val="004F2D03"/>
    <w:rsid w:val="004F3504"/>
    <w:rsid w:val="004F3F07"/>
    <w:rsid w:val="004F612D"/>
    <w:rsid w:val="004F67CF"/>
    <w:rsid w:val="004F6F55"/>
    <w:rsid w:val="005002A7"/>
    <w:rsid w:val="0050067C"/>
    <w:rsid w:val="00501698"/>
    <w:rsid w:val="00504121"/>
    <w:rsid w:val="005048B8"/>
    <w:rsid w:val="005050E3"/>
    <w:rsid w:val="005051A1"/>
    <w:rsid w:val="005060B7"/>
    <w:rsid w:val="00506226"/>
    <w:rsid w:val="005067CA"/>
    <w:rsid w:val="00507A98"/>
    <w:rsid w:val="00507CF7"/>
    <w:rsid w:val="00512C79"/>
    <w:rsid w:val="00513F17"/>
    <w:rsid w:val="005140FB"/>
    <w:rsid w:val="00515EC0"/>
    <w:rsid w:val="00515F0C"/>
    <w:rsid w:val="00517D9A"/>
    <w:rsid w:val="0052188D"/>
    <w:rsid w:val="00521FF5"/>
    <w:rsid w:val="00522A3B"/>
    <w:rsid w:val="00522B38"/>
    <w:rsid w:val="00524BAD"/>
    <w:rsid w:val="00525B5D"/>
    <w:rsid w:val="00525D1D"/>
    <w:rsid w:val="00526851"/>
    <w:rsid w:val="005273F9"/>
    <w:rsid w:val="0053070B"/>
    <w:rsid w:val="00530B3A"/>
    <w:rsid w:val="005319FB"/>
    <w:rsid w:val="00532992"/>
    <w:rsid w:val="005346C4"/>
    <w:rsid w:val="00535C11"/>
    <w:rsid w:val="00535C58"/>
    <w:rsid w:val="00536366"/>
    <w:rsid w:val="00536B99"/>
    <w:rsid w:val="00540D94"/>
    <w:rsid w:val="00541654"/>
    <w:rsid w:val="00541A5D"/>
    <w:rsid w:val="00541DDC"/>
    <w:rsid w:val="00541E5A"/>
    <w:rsid w:val="00542597"/>
    <w:rsid w:val="00542B8D"/>
    <w:rsid w:val="00544833"/>
    <w:rsid w:val="00544EBC"/>
    <w:rsid w:val="0054510D"/>
    <w:rsid w:val="0054794E"/>
    <w:rsid w:val="00551E45"/>
    <w:rsid w:val="00551E53"/>
    <w:rsid w:val="00554F15"/>
    <w:rsid w:val="00557414"/>
    <w:rsid w:val="0056392C"/>
    <w:rsid w:val="00564FF7"/>
    <w:rsid w:val="005664C8"/>
    <w:rsid w:val="005671AE"/>
    <w:rsid w:val="00570C1E"/>
    <w:rsid w:val="00570E86"/>
    <w:rsid w:val="00576707"/>
    <w:rsid w:val="005768A1"/>
    <w:rsid w:val="00576D81"/>
    <w:rsid w:val="00577327"/>
    <w:rsid w:val="00580AF2"/>
    <w:rsid w:val="0058196A"/>
    <w:rsid w:val="00581FC9"/>
    <w:rsid w:val="00584B69"/>
    <w:rsid w:val="00585BB1"/>
    <w:rsid w:val="00586B06"/>
    <w:rsid w:val="00587BE5"/>
    <w:rsid w:val="00591077"/>
    <w:rsid w:val="005920EB"/>
    <w:rsid w:val="00595A90"/>
    <w:rsid w:val="00595FA6"/>
    <w:rsid w:val="0059666E"/>
    <w:rsid w:val="00596A5C"/>
    <w:rsid w:val="00597343"/>
    <w:rsid w:val="005A0439"/>
    <w:rsid w:val="005A0942"/>
    <w:rsid w:val="005A14EE"/>
    <w:rsid w:val="005A20E5"/>
    <w:rsid w:val="005A3EFF"/>
    <w:rsid w:val="005A5741"/>
    <w:rsid w:val="005A5846"/>
    <w:rsid w:val="005A7659"/>
    <w:rsid w:val="005A7DD4"/>
    <w:rsid w:val="005B0071"/>
    <w:rsid w:val="005B03CD"/>
    <w:rsid w:val="005B0D23"/>
    <w:rsid w:val="005B3A99"/>
    <w:rsid w:val="005B542B"/>
    <w:rsid w:val="005B55F3"/>
    <w:rsid w:val="005C07A9"/>
    <w:rsid w:val="005C0F56"/>
    <w:rsid w:val="005C1211"/>
    <w:rsid w:val="005C18BF"/>
    <w:rsid w:val="005C1F7A"/>
    <w:rsid w:val="005C39A6"/>
    <w:rsid w:val="005C437E"/>
    <w:rsid w:val="005C551A"/>
    <w:rsid w:val="005C5862"/>
    <w:rsid w:val="005C6281"/>
    <w:rsid w:val="005C6CFE"/>
    <w:rsid w:val="005D00C6"/>
    <w:rsid w:val="005D0F6E"/>
    <w:rsid w:val="005D3032"/>
    <w:rsid w:val="005D355B"/>
    <w:rsid w:val="005D6078"/>
    <w:rsid w:val="005D6CCC"/>
    <w:rsid w:val="005D7D26"/>
    <w:rsid w:val="005E1FA6"/>
    <w:rsid w:val="005E2A2E"/>
    <w:rsid w:val="005E3056"/>
    <w:rsid w:val="005E4655"/>
    <w:rsid w:val="005E534C"/>
    <w:rsid w:val="005E6AF1"/>
    <w:rsid w:val="005E6BB0"/>
    <w:rsid w:val="005E76B1"/>
    <w:rsid w:val="005F09BC"/>
    <w:rsid w:val="005F1B47"/>
    <w:rsid w:val="005F289E"/>
    <w:rsid w:val="005F361D"/>
    <w:rsid w:val="005F39A5"/>
    <w:rsid w:val="005F3B8D"/>
    <w:rsid w:val="005F510D"/>
    <w:rsid w:val="005F53FC"/>
    <w:rsid w:val="005F56AC"/>
    <w:rsid w:val="005F72E6"/>
    <w:rsid w:val="00601DCA"/>
    <w:rsid w:val="0060275B"/>
    <w:rsid w:val="0060425C"/>
    <w:rsid w:val="00605FB3"/>
    <w:rsid w:val="00605FBD"/>
    <w:rsid w:val="00606604"/>
    <w:rsid w:val="00607606"/>
    <w:rsid w:val="00607C54"/>
    <w:rsid w:val="006113FB"/>
    <w:rsid w:val="0061275B"/>
    <w:rsid w:val="006139B6"/>
    <w:rsid w:val="00613C35"/>
    <w:rsid w:val="00613EDF"/>
    <w:rsid w:val="0061739B"/>
    <w:rsid w:val="00617CF5"/>
    <w:rsid w:val="00617E4C"/>
    <w:rsid w:val="00620460"/>
    <w:rsid w:val="0062095C"/>
    <w:rsid w:val="00620D1E"/>
    <w:rsid w:val="00620F71"/>
    <w:rsid w:val="006224D5"/>
    <w:rsid w:val="00623BA4"/>
    <w:rsid w:val="00623F2A"/>
    <w:rsid w:val="006241D5"/>
    <w:rsid w:val="00630A5C"/>
    <w:rsid w:val="00631C85"/>
    <w:rsid w:val="00632A57"/>
    <w:rsid w:val="00633B59"/>
    <w:rsid w:val="00633F93"/>
    <w:rsid w:val="0063617A"/>
    <w:rsid w:val="00637362"/>
    <w:rsid w:val="006460CA"/>
    <w:rsid w:val="00646434"/>
    <w:rsid w:val="00646FD6"/>
    <w:rsid w:val="00647156"/>
    <w:rsid w:val="0065023D"/>
    <w:rsid w:val="00650436"/>
    <w:rsid w:val="00651451"/>
    <w:rsid w:val="00651484"/>
    <w:rsid w:val="006532E1"/>
    <w:rsid w:val="00654280"/>
    <w:rsid w:val="006543C1"/>
    <w:rsid w:val="006545A0"/>
    <w:rsid w:val="00654F0F"/>
    <w:rsid w:val="00655141"/>
    <w:rsid w:val="00656AF4"/>
    <w:rsid w:val="00660DF0"/>
    <w:rsid w:val="0066257A"/>
    <w:rsid w:val="00663BEB"/>
    <w:rsid w:val="00664528"/>
    <w:rsid w:val="00665D34"/>
    <w:rsid w:val="00667555"/>
    <w:rsid w:val="00667877"/>
    <w:rsid w:val="006700CB"/>
    <w:rsid w:val="00671826"/>
    <w:rsid w:val="00672443"/>
    <w:rsid w:val="0067316F"/>
    <w:rsid w:val="00673BE2"/>
    <w:rsid w:val="00674B00"/>
    <w:rsid w:val="006765AD"/>
    <w:rsid w:val="006766D8"/>
    <w:rsid w:val="00676AF5"/>
    <w:rsid w:val="00677827"/>
    <w:rsid w:val="006811F4"/>
    <w:rsid w:val="006821B4"/>
    <w:rsid w:val="00682982"/>
    <w:rsid w:val="0068391F"/>
    <w:rsid w:val="00683EEA"/>
    <w:rsid w:val="00685537"/>
    <w:rsid w:val="00686F6E"/>
    <w:rsid w:val="00687CB9"/>
    <w:rsid w:val="006903B6"/>
    <w:rsid w:val="00690691"/>
    <w:rsid w:val="006910AF"/>
    <w:rsid w:val="00691383"/>
    <w:rsid w:val="00691BE0"/>
    <w:rsid w:val="00694D2F"/>
    <w:rsid w:val="00696449"/>
    <w:rsid w:val="00697ACE"/>
    <w:rsid w:val="00697CDC"/>
    <w:rsid w:val="006A0E0F"/>
    <w:rsid w:val="006A16A3"/>
    <w:rsid w:val="006A286E"/>
    <w:rsid w:val="006A3566"/>
    <w:rsid w:val="006A3FAA"/>
    <w:rsid w:val="006A486E"/>
    <w:rsid w:val="006A55BF"/>
    <w:rsid w:val="006A6E0D"/>
    <w:rsid w:val="006A7E5B"/>
    <w:rsid w:val="006B13FB"/>
    <w:rsid w:val="006B16A6"/>
    <w:rsid w:val="006B19F7"/>
    <w:rsid w:val="006B1C9F"/>
    <w:rsid w:val="006B21BB"/>
    <w:rsid w:val="006B242E"/>
    <w:rsid w:val="006B4778"/>
    <w:rsid w:val="006B47F5"/>
    <w:rsid w:val="006B6027"/>
    <w:rsid w:val="006B6109"/>
    <w:rsid w:val="006B621B"/>
    <w:rsid w:val="006B7757"/>
    <w:rsid w:val="006B7F76"/>
    <w:rsid w:val="006C29CE"/>
    <w:rsid w:val="006C47A1"/>
    <w:rsid w:val="006C568D"/>
    <w:rsid w:val="006C57EB"/>
    <w:rsid w:val="006C614B"/>
    <w:rsid w:val="006C67CD"/>
    <w:rsid w:val="006D05D6"/>
    <w:rsid w:val="006D1DDE"/>
    <w:rsid w:val="006D2706"/>
    <w:rsid w:val="006D293C"/>
    <w:rsid w:val="006D51CE"/>
    <w:rsid w:val="006D569D"/>
    <w:rsid w:val="006E1BC0"/>
    <w:rsid w:val="006E21BA"/>
    <w:rsid w:val="006E3242"/>
    <w:rsid w:val="006E3346"/>
    <w:rsid w:val="006E6447"/>
    <w:rsid w:val="006E6BC5"/>
    <w:rsid w:val="006E6EA6"/>
    <w:rsid w:val="006E6FFC"/>
    <w:rsid w:val="006F391B"/>
    <w:rsid w:val="006F3EBC"/>
    <w:rsid w:val="006F4B18"/>
    <w:rsid w:val="006F5CC4"/>
    <w:rsid w:val="006F5F73"/>
    <w:rsid w:val="006F71E4"/>
    <w:rsid w:val="006F7873"/>
    <w:rsid w:val="006F7BDF"/>
    <w:rsid w:val="006F7F7F"/>
    <w:rsid w:val="0070096B"/>
    <w:rsid w:val="007017E5"/>
    <w:rsid w:val="007037DF"/>
    <w:rsid w:val="007037F0"/>
    <w:rsid w:val="00703AF8"/>
    <w:rsid w:val="00704194"/>
    <w:rsid w:val="00705C73"/>
    <w:rsid w:val="00705E4F"/>
    <w:rsid w:val="00706369"/>
    <w:rsid w:val="007066BF"/>
    <w:rsid w:val="00706799"/>
    <w:rsid w:val="00707E3C"/>
    <w:rsid w:val="0071020D"/>
    <w:rsid w:val="007108E1"/>
    <w:rsid w:val="0071118C"/>
    <w:rsid w:val="00711854"/>
    <w:rsid w:val="007127A7"/>
    <w:rsid w:val="00713B1C"/>
    <w:rsid w:val="0071413A"/>
    <w:rsid w:val="00714E1A"/>
    <w:rsid w:val="0071637F"/>
    <w:rsid w:val="00717677"/>
    <w:rsid w:val="00717851"/>
    <w:rsid w:val="0072009A"/>
    <w:rsid w:val="00720689"/>
    <w:rsid w:val="00721633"/>
    <w:rsid w:val="00721855"/>
    <w:rsid w:val="00723E04"/>
    <w:rsid w:val="00727247"/>
    <w:rsid w:val="00730050"/>
    <w:rsid w:val="007307B4"/>
    <w:rsid w:val="007309BA"/>
    <w:rsid w:val="00731D8B"/>
    <w:rsid w:val="00732C5C"/>
    <w:rsid w:val="0073305F"/>
    <w:rsid w:val="00733285"/>
    <w:rsid w:val="00733595"/>
    <w:rsid w:val="00736BAA"/>
    <w:rsid w:val="00737BA6"/>
    <w:rsid w:val="00740498"/>
    <w:rsid w:val="007405A1"/>
    <w:rsid w:val="007408C1"/>
    <w:rsid w:val="00741EC6"/>
    <w:rsid w:val="0074214B"/>
    <w:rsid w:val="0074301D"/>
    <w:rsid w:val="00743931"/>
    <w:rsid w:val="00744126"/>
    <w:rsid w:val="007443A2"/>
    <w:rsid w:val="007453EE"/>
    <w:rsid w:val="007457F2"/>
    <w:rsid w:val="007473C4"/>
    <w:rsid w:val="00747685"/>
    <w:rsid w:val="00747903"/>
    <w:rsid w:val="007531DA"/>
    <w:rsid w:val="00753A16"/>
    <w:rsid w:val="0075413B"/>
    <w:rsid w:val="00755268"/>
    <w:rsid w:val="007552EB"/>
    <w:rsid w:val="0075615A"/>
    <w:rsid w:val="007564E4"/>
    <w:rsid w:val="00756DCB"/>
    <w:rsid w:val="00756E5C"/>
    <w:rsid w:val="0075726B"/>
    <w:rsid w:val="00757BFB"/>
    <w:rsid w:val="007600CF"/>
    <w:rsid w:val="00761BFB"/>
    <w:rsid w:val="007665F2"/>
    <w:rsid w:val="00766F5D"/>
    <w:rsid w:val="007671B6"/>
    <w:rsid w:val="007706FA"/>
    <w:rsid w:val="00772539"/>
    <w:rsid w:val="007729CD"/>
    <w:rsid w:val="007738E6"/>
    <w:rsid w:val="00777502"/>
    <w:rsid w:val="0078087F"/>
    <w:rsid w:val="00780909"/>
    <w:rsid w:val="00781012"/>
    <w:rsid w:val="00782B69"/>
    <w:rsid w:val="007840FA"/>
    <w:rsid w:val="00784153"/>
    <w:rsid w:val="0078469A"/>
    <w:rsid w:val="00785966"/>
    <w:rsid w:val="00785E65"/>
    <w:rsid w:val="00785F40"/>
    <w:rsid w:val="007909A7"/>
    <w:rsid w:val="00792451"/>
    <w:rsid w:val="0079275D"/>
    <w:rsid w:val="00793D29"/>
    <w:rsid w:val="007950CB"/>
    <w:rsid w:val="00795718"/>
    <w:rsid w:val="00795C15"/>
    <w:rsid w:val="007971E9"/>
    <w:rsid w:val="007A01E5"/>
    <w:rsid w:val="007A024D"/>
    <w:rsid w:val="007A05F2"/>
    <w:rsid w:val="007A08F6"/>
    <w:rsid w:val="007A1814"/>
    <w:rsid w:val="007A42FD"/>
    <w:rsid w:val="007A5065"/>
    <w:rsid w:val="007A50F0"/>
    <w:rsid w:val="007A58C6"/>
    <w:rsid w:val="007A58E9"/>
    <w:rsid w:val="007A6C4B"/>
    <w:rsid w:val="007A7E5E"/>
    <w:rsid w:val="007B01AA"/>
    <w:rsid w:val="007B04AB"/>
    <w:rsid w:val="007B0A32"/>
    <w:rsid w:val="007B0F5E"/>
    <w:rsid w:val="007B48FE"/>
    <w:rsid w:val="007B5C8A"/>
    <w:rsid w:val="007B68FC"/>
    <w:rsid w:val="007C34AF"/>
    <w:rsid w:val="007C3A0E"/>
    <w:rsid w:val="007C4DDB"/>
    <w:rsid w:val="007C5849"/>
    <w:rsid w:val="007C662A"/>
    <w:rsid w:val="007C7D2A"/>
    <w:rsid w:val="007D028B"/>
    <w:rsid w:val="007D041F"/>
    <w:rsid w:val="007D14E0"/>
    <w:rsid w:val="007D240F"/>
    <w:rsid w:val="007D2786"/>
    <w:rsid w:val="007D6A6E"/>
    <w:rsid w:val="007D7972"/>
    <w:rsid w:val="007D7F3C"/>
    <w:rsid w:val="007E3724"/>
    <w:rsid w:val="007E47E5"/>
    <w:rsid w:val="007E4E70"/>
    <w:rsid w:val="007E6E0E"/>
    <w:rsid w:val="007F0580"/>
    <w:rsid w:val="007F0CC1"/>
    <w:rsid w:val="007F1247"/>
    <w:rsid w:val="007F18AB"/>
    <w:rsid w:val="007F435F"/>
    <w:rsid w:val="007F59E4"/>
    <w:rsid w:val="00804822"/>
    <w:rsid w:val="0080620A"/>
    <w:rsid w:val="00807DCC"/>
    <w:rsid w:val="00810214"/>
    <w:rsid w:val="00810602"/>
    <w:rsid w:val="00811CBA"/>
    <w:rsid w:val="00812242"/>
    <w:rsid w:val="0081455C"/>
    <w:rsid w:val="00814797"/>
    <w:rsid w:val="008148DC"/>
    <w:rsid w:val="0081607C"/>
    <w:rsid w:val="0081629E"/>
    <w:rsid w:val="00816395"/>
    <w:rsid w:val="00816CE9"/>
    <w:rsid w:val="008172DD"/>
    <w:rsid w:val="00817DA1"/>
    <w:rsid w:val="00820204"/>
    <w:rsid w:val="008206DA"/>
    <w:rsid w:val="00821259"/>
    <w:rsid w:val="00821C20"/>
    <w:rsid w:val="0082210C"/>
    <w:rsid w:val="00823C6F"/>
    <w:rsid w:val="00824B02"/>
    <w:rsid w:val="0083143C"/>
    <w:rsid w:val="008317FB"/>
    <w:rsid w:val="00831BF5"/>
    <w:rsid w:val="00831E54"/>
    <w:rsid w:val="008320EE"/>
    <w:rsid w:val="008329B7"/>
    <w:rsid w:val="008338FE"/>
    <w:rsid w:val="00834793"/>
    <w:rsid w:val="00834EE0"/>
    <w:rsid w:val="00841CBA"/>
    <w:rsid w:val="00842D65"/>
    <w:rsid w:val="00842DE4"/>
    <w:rsid w:val="00845ACB"/>
    <w:rsid w:val="00847080"/>
    <w:rsid w:val="0085199F"/>
    <w:rsid w:val="00851E35"/>
    <w:rsid w:val="00853804"/>
    <w:rsid w:val="00854BCD"/>
    <w:rsid w:val="00855340"/>
    <w:rsid w:val="00855446"/>
    <w:rsid w:val="008579F8"/>
    <w:rsid w:val="00857DAB"/>
    <w:rsid w:val="00861609"/>
    <w:rsid w:val="00861BCA"/>
    <w:rsid w:val="00863AED"/>
    <w:rsid w:val="00863BF5"/>
    <w:rsid w:val="00863FF5"/>
    <w:rsid w:val="008656D9"/>
    <w:rsid w:val="0086654F"/>
    <w:rsid w:val="00867936"/>
    <w:rsid w:val="008703BC"/>
    <w:rsid w:val="008707BF"/>
    <w:rsid w:val="00870A06"/>
    <w:rsid w:val="00870B8B"/>
    <w:rsid w:val="0087267D"/>
    <w:rsid w:val="0087496E"/>
    <w:rsid w:val="00875681"/>
    <w:rsid w:val="0087631B"/>
    <w:rsid w:val="00876548"/>
    <w:rsid w:val="00880125"/>
    <w:rsid w:val="00880BDE"/>
    <w:rsid w:val="0088179C"/>
    <w:rsid w:val="008821DA"/>
    <w:rsid w:val="008829AB"/>
    <w:rsid w:val="00883147"/>
    <w:rsid w:val="00883AA4"/>
    <w:rsid w:val="00885528"/>
    <w:rsid w:val="00885743"/>
    <w:rsid w:val="00885B56"/>
    <w:rsid w:val="008874C5"/>
    <w:rsid w:val="00890057"/>
    <w:rsid w:val="00890C73"/>
    <w:rsid w:val="00890F76"/>
    <w:rsid w:val="00891461"/>
    <w:rsid w:val="00891ABF"/>
    <w:rsid w:val="00892543"/>
    <w:rsid w:val="00892E4A"/>
    <w:rsid w:val="008935DA"/>
    <w:rsid w:val="008955E6"/>
    <w:rsid w:val="00897D1B"/>
    <w:rsid w:val="008A0DD3"/>
    <w:rsid w:val="008A1E73"/>
    <w:rsid w:val="008A2143"/>
    <w:rsid w:val="008A2E0D"/>
    <w:rsid w:val="008A4777"/>
    <w:rsid w:val="008A4F56"/>
    <w:rsid w:val="008A530C"/>
    <w:rsid w:val="008A66A1"/>
    <w:rsid w:val="008B151C"/>
    <w:rsid w:val="008B24CA"/>
    <w:rsid w:val="008B26FD"/>
    <w:rsid w:val="008B3901"/>
    <w:rsid w:val="008B75BC"/>
    <w:rsid w:val="008B79AA"/>
    <w:rsid w:val="008C05FA"/>
    <w:rsid w:val="008C1017"/>
    <w:rsid w:val="008C2A57"/>
    <w:rsid w:val="008C3204"/>
    <w:rsid w:val="008C3536"/>
    <w:rsid w:val="008C3CA2"/>
    <w:rsid w:val="008C3EBC"/>
    <w:rsid w:val="008C5E50"/>
    <w:rsid w:val="008D0A62"/>
    <w:rsid w:val="008D19AA"/>
    <w:rsid w:val="008D35E2"/>
    <w:rsid w:val="008D41CD"/>
    <w:rsid w:val="008D4366"/>
    <w:rsid w:val="008D6D5D"/>
    <w:rsid w:val="008E0073"/>
    <w:rsid w:val="008E0864"/>
    <w:rsid w:val="008E0E43"/>
    <w:rsid w:val="008E19DB"/>
    <w:rsid w:val="008E1DAA"/>
    <w:rsid w:val="008E45FD"/>
    <w:rsid w:val="008E54C8"/>
    <w:rsid w:val="008E5855"/>
    <w:rsid w:val="008F002B"/>
    <w:rsid w:val="008F0809"/>
    <w:rsid w:val="008F1012"/>
    <w:rsid w:val="008F22DB"/>
    <w:rsid w:val="008F319A"/>
    <w:rsid w:val="008F55C8"/>
    <w:rsid w:val="008F7181"/>
    <w:rsid w:val="008F786E"/>
    <w:rsid w:val="008F7CD7"/>
    <w:rsid w:val="009005E6"/>
    <w:rsid w:val="00902DFD"/>
    <w:rsid w:val="00903898"/>
    <w:rsid w:val="00903EBF"/>
    <w:rsid w:val="00906CA6"/>
    <w:rsid w:val="00907A7D"/>
    <w:rsid w:val="00907B0B"/>
    <w:rsid w:val="00911E3A"/>
    <w:rsid w:val="00912FB0"/>
    <w:rsid w:val="009130D1"/>
    <w:rsid w:val="00913883"/>
    <w:rsid w:val="00913FFE"/>
    <w:rsid w:val="00914D5E"/>
    <w:rsid w:val="00914F62"/>
    <w:rsid w:val="00915AAF"/>
    <w:rsid w:val="00915C5D"/>
    <w:rsid w:val="00917504"/>
    <w:rsid w:val="009213D9"/>
    <w:rsid w:val="00922034"/>
    <w:rsid w:val="00923931"/>
    <w:rsid w:val="00924E26"/>
    <w:rsid w:val="009279BD"/>
    <w:rsid w:val="00930168"/>
    <w:rsid w:val="009304B7"/>
    <w:rsid w:val="009308CE"/>
    <w:rsid w:val="009318BF"/>
    <w:rsid w:val="009340F1"/>
    <w:rsid w:val="00934891"/>
    <w:rsid w:val="00934D9C"/>
    <w:rsid w:val="00936B95"/>
    <w:rsid w:val="00937FD7"/>
    <w:rsid w:val="00940326"/>
    <w:rsid w:val="00941320"/>
    <w:rsid w:val="0094178B"/>
    <w:rsid w:val="009418F2"/>
    <w:rsid w:val="009435EF"/>
    <w:rsid w:val="00943CE4"/>
    <w:rsid w:val="009446EF"/>
    <w:rsid w:val="0094554A"/>
    <w:rsid w:val="00945932"/>
    <w:rsid w:val="009469C0"/>
    <w:rsid w:val="00946B85"/>
    <w:rsid w:val="009475DB"/>
    <w:rsid w:val="00947795"/>
    <w:rsid w:val="00951D3B"/>
    <w:rsid w:val="00953D11"/>
    <w:rsid w:val="00954273"/>
    <w:rsid w:val="0095502E"/>
    <w:rsid w:val="00955352"/>
    <w:rsid w:val="00956CBD"/>
    <w:rsid w:val="00956F28"/>
    <w:rsid w:val="009570AC"/>
    <w:rsid w:val="00957C01"/>
    <w:rsid w:val="00957FFB"/>
    <w:rsid w:val="00960D57"/>
    <w:rsid w:val="00962CDB"/>
    <w:rsid w:val="00963122"/>
    <w:rsid w:val="00967C0E"/>
    <w:rsid w:val="0097196C"/>
    <w:rsid w:val="00971A9C"/>
    <w:rsid w:val="00973ACC"/>
    <w:rsid w:val="0097476C"/>
    <w:rsid w:val="00974EC7"/>
    <w:rsid w:val="009756AC"/>
    <w:rsid w:val="00976DCC"/>
    <w:rsid w:val="00980581"/>
    <w:rsid w:val="00980A0F"/>
    <w:rsid w:val="0098138F"/>
    <w:rsid w:val="0098406D"/>
    <w:rsid w:val="00985DF1"/>
    <w:rsid w:val="00986709"/>
    <w:rsid w:val="009872CF"/>
    <w:rsid w:val="009936CB"/>
    <w:rsid w:val="00993A6E"/>
    <w:rsid w:val="00993EB2"/>
    <w:rsid w:val="00996995"/>
    <w:rsid w:val="009A0692"/>
    <w:rsid w:val="009A119B"/>
    <w:rsid w:val="009A1BEC"/>
    <w:rsid w:val="009A22AC"/>
    <w:rsid w:val="009A3036"/>
    <w:rsid w:val="009A36E6"/>
    <w:rsid w:val="009A39B7"/>
    <w:rsid w:val="009A3C1B"/>
    <w:rsid w:val="009A3DB0"/>
    <w:rsid w:val="009A4357"/>
    <w:rsid w:val="009A45C3"/>
    <w:rsid w:val="009A5FD6"/>
    <w:rsid w:val="009A6A15"/>
    <w:rsid w:val="009B0EC8"/>
    <w:rsid w:val="009B1B85"/>
    <w:rsid w:val="009B24DE"/>
    <w:rsid w:val="009B258D"/>
    <w:rsid w:val="009B33CC"/>
    <w:rsid w:val="009B3E70"/>
    <w:rsid w:val="009B454C"/>
    <w:rsid w:val="009B5CB2"/>
    <w:rsid w:val="009B6367"/>
    <w:rsid w:val="009B6412"/>
    <w:rsid w:val="009B69A0"/>
    <w:rsid w:val="009B72DA"/>
    <w:rsid w:val="009B786A"/>
    <w:rsid w:val="009C05F9"/>
    <w:rsid w:val="009C1860"/>
    <w:rsid w:val="009C18F9"/>
    <w:rsid w:val="009C2243"/>
    <w:rsid w:val="009C268F"/>
    <w:rsid w:val="009C3A57"/>
    <w:rsid w:val="009C4121"/>
    <w:rsid w:val="009C41EE"/>
    <w:rsid w:val="009C4C5F"/>
    <w:rsid w:val="009C5AD5"/>
    <w:rsid w:val="009C628D"/>
    <w:rsid w:val="009C68F2"/>
    <w:rsid w:val="009C6C13"/>
    <w:rsid w:val="009C7217"/>
    <w:rsid w:val="009D00C2"/>
    <w:rsid w:val="009D164A"/>
    <w:rsid w:val="009D22AE"/>
    <w:rsid w:val="009D3229"/>
    <w:rsid w:val="009D39AF"/>
    <w:rsid w:val="009D4968"/>
    <w:rsid w:val="009D65DD"/>
    <w:rsid w:val="009D6916"/>
    <w:rsid w:val="009D721D"/>
    <w:rsid w:val="009E0185"/>
    <w:rsid w:val="009E045D"/>
    <w:rsid w:val="009E1823"/>
    <w:rsid w:val="009E2820"/>
    <w:rsid w:val="009E2B87"/>
    <w:rsid w:val="009E2F24"/>
    <w:rsid w:val="009E31F4"/>
    <w:rsid w:val="009E4725"/>
    <w:rsid w:val="009E69B5"/>
    <w:rsid w:val="009E6B79"/>
    <w:rsid w:val="009E7198"/>
    <w:rsid w:val="009E73D5"/>
    <w:rsid w:val="009F3FFF"/>
    <w:rsid w:val="009F69CB"/>
    <w:rsid w:val="009F768B"/>
    <w:rsid w:val="00A00F07"/>
    <w:rsid w:val="00A02130"/>
    <w:rsid w:val="00A024AC"/>
    <w:rsid w:val="00A04D3A"/>
    <w:rsid w:val="00A04E84"/>
    <w:rsid w:val="00A05F2A"/>
    <w:rsid w:val="00A062EB"/>
    <w:rsid w:val="00A07FD4"/>
    <w:rsid w:val="00A10AC3"/>
    <w:rsid w:val="00A11E37"/>
    <w:rsid w:val="00A126F1"/>
    <w:rsid w:val="00A12C81"/>
    <w:rsid w:val="00A13785"/>
    <w:rsid w:val="00A14444"/>
    <w:rsid w:val="00A144A7"/>
    <w:rsid w:val="00A14768"/>
    <w:rsid w:val="00A14AC5"/>
    <w:rsid w:val="00A14F8E"/>
    <w:rsid w:val="00A152B7"/>
    <w:rsid w:val="00A15ACE"/>
    <w:rsid w:val="00A160A4"/>
    <w:rsid w:val="00A16212"/>
    <w:rsid w:val="00A16243"/>
    <w:rsid w:val="00A16765"/>
    <w:rsid w:val="00A17A68"/>
    <w:rsid w:val="00A21192"/>
    <w:rsid w:val="00A22677"/>
    <w:rsid w:val="00A2323C"/>
    <w:rsid w:val="00A24DF0"/>
    <w:rsid w:val="00A26E8D"/>
    <w:rsid w:val="00A27551"/>
    <w:rsid w:val="00A27FF3"/>
    <w:rsid w:val="00A3013D"/>
    <w:rsid w:val="00A30681"/>
    <w:rsid w:val="00A32323"/>
    <w:rsid w:val="00A3315D"/>
    <w:rsid w:val="00A33A74"/>
    <w:rsid w:val="00A36876"/>
    <w:rsid w:val="00A36D38"/>
    <w:rsid w:val="00A37604"/>
    <w:rsid w:val="00A3790C"/>
    <w:rsid w:val="00A37F87"/>
    <w:rsid w:val="00A40128"/>
    <w:rsid w:val="00A408DC"/>
    <w:rsid w:val="00A41585"/>
    <w:rsid w:val="00A43410"/>
    <w:rsid w:val="00A43D6A"/>
    <w:rsid w:val="00A43FDE"/>
    <w:rsid w:val="00A44100"/>
    <w:rsid w:val="00A44180"/>
    <w:rsid w:val="00A447BC"/>
    <w:rsid w:val="00A46550"/>
    <w:rsid w:val="00A50586"/>
    <w:rsid w:val="00A50E71"/>
    <w:rsid w:val="00A51051"/>
    <w:rsid w:val="00A525E6"/>
    <w:rsid w:val="00A52985"/>
    <w:rsid w:val="00A52E71"/>
    <w:rsid w:val="00A53192"/>
    <w:rsid w:val="00A532AB"/>
    <w:rsid w:val="00A54696"/>
    <w:rsid w:val="00A546ED"/>
    <w:rsid w:val="00A559BC"/>
    <w:rsid w:val="00A55AA7"/>
    <w:rsid w:val="00A560C5"/>
    <w:rsid w:val="00A603A4"/>
    <w:rsid w:val="00A6162A"/>
    <w:rsid w:val="00A6216A"/>
    <w:rsid w:val="00A62ABA"/>
    <w:rsid w:val="00A62C6C"/>
    <w:rsid w:val="00A6345F"/>
    <w:rsid w:val="00A63A12"/>
    <w:rsid w:val="00A63A21"/>
    <w:rsid w:val="00A642DA"/>
    <w:rsid w:val="00A65BA0"/>
    <w:rsid w:val="00A65F7B"/>
    <w:rsid w:val="00A70926"/>
    <w:rsid w:val="00A709DD"/>
    <w:rsid w:val="00A72212"/>
    <w:rsid w:val="00A72C91"/>
    <w:rsid w:val="00A72E3C"/>
    <w:rsid w:val="00A733D0"/>
    <w:rsid w:val="00A733F1"/>
    <w:rsid w:val="00A7380B"/>
    <w:rsid w:val="00A73987"/>
    <w:rsid w:val="00A75F60"/>
    <w:rsid w:val="00A7632D"/>
    <w:rsid w:val="00A774C5"/>
    <w:rsid w:val="00A77768"/>
    <w:rsid w:val="00A8041A"/>
    <w:rsid w:val="00A804D6"/>
    <w:rsid w:val="00A810AF"/>
    <w:rsid w:val="00A812D3"/>
    <w:rsid w:val="00A82216"/>
    <w:rsid w:val="00A82278"/>
    <w:rsid w:val="00A823EE"/>
    <w:rsid w:val="00A84393"/>
    <w:rsid w:val="00A90198"/>
    <w:rsid w:val="00A92BE8"/>
    <w:rsid w:val="00A9429A"/>
    <w:rsid w:val="00A95B30"/>
    <w:rsid w:val="00A96363"/>
    <w:rsid w:val="00A96C4E"/>
    <w:rsid w:val="00A96EF4"/>
    <w:rsid w:val="00A97EA3"/>
    <w:rsid w:val="00AA0B23"/>
    <w:rsid w:val="00AA1EC1"/>
    <w:rsid w:val="00AA356D"/>
    <w:rsid w:val="00AA4593"/>
    <w:rsid w:val="00AA541E"/>
    <w:rsid w:val="00AA5858"/>
    <w:rsid w:val="00AA5FD0"/>
    <w:rsid w:val="00AA79C8"/>
    <w:rsid w:val="00AA7B60"/>
    <w:rsid w:val="00AA7E6B"/>
    <w:rsid w:val="00AB0857"/>
    <w:rsid w:val="00AB4113"/>
    <w:rsid w:val="00AB4E3A"/>
    <w:rsid w:val="00AB59DD"/>
    <w:rsid w:val="00AB606F"/>
    <w:rsid w:val="00AB61DB"/>
    <w:rsid w:val="00AB6248"/>
    <w:rsid w:val="00AB74FA"/>
    <w:rsid w:val="00AC02D0"/>
    <w:rsid w:val="00AC17E8"/>
    <w:rsid w:val="00AC1811"/>
    <w:rsid w:val="00AC3436"/>
    <w:rsid w:val="00AC3B4C"/>
    <w:rsid w:val="00AC4690"/>
    <w:rsid w:val="00AC6154"/>
    <w:rsid w:val="00AC6977"/>
    <w:rsid w:val="00AC7D93"/>
    <w:rsid w:val="00AD13DC"/>
    <w:rsid w:val="00AD324C"/>
    <w:rsid w:val="00AD5346"/>
    <w:rsid w:val="00AD653D"/>
    <w:rsid w:val="00AE1A15"/>
    <w:rsid w:val="00AE3862"/>
    <w:rsid w:val="00AE4ADF"/>
    <w:rsid w:val="00AE4F4F"/>
    <w:rsid w:val="00AE5EBA"/>
    <w:rsid w:val="00AE6D40"/>
    <w:rsid w:val="00AE7CDC"/>
    <w:rsid w:val="00AE7CDD"/>
    <w:rsid w:val="00AF1C4B"/>
    <w:rsid w:val="00AF2341"/>
    <w:rsid w:val="00AF2616"/>
    <w:rsid w:val="00AF3501"/>
    <w:rsid w:val="00AF3AEA"/>
    <w:rsid w:val="00AF3B41"/>
    <w:rsid w:val="00AF3B74"/>
    <w:rsid w:val="00AF3EAE"/>
    <w:rsid w:val="00AF513B"/>
    <w:rsid w:val="00AF616C"/>
    <w:rsid w:val="00AF6AD0"/>
    <w:rsid w:val="00B01C49"/>
    <w:rsid w:val="00B02754"/>
    <w:rsid w:val="00B03291"/>
    <w:rsid w:val="00B049B3"/>
    <w:rsid w:val="00B05A79"/>
    <w:rsid w:val="00B05AFF"/>
    <w:rsid w:val="00B10D67"/>
    <w:rsid w:val="00B10DA7"/>
    <w:rsid w:val="00B11762"/>
    <w:rsid w:val="00B1238E"/>
    <w:rsid w:val="00B13755"/>
    <w:rsid w:val="00B137C4"/>
    <w:rsid w:val="00B14208"/>
    <w:rsid w:val="00B1439F"/>
    <w:rsid w:val="00B14EE1"/>
    <w:rsid w:val="00B15171"/>
    <w:rsid w:val="00B15D7C"/>
    <w:rsid w:val="00B20A43"/>
    <w:rsid w:val="00B215E7"/>
    <w:rsid w:val="00B22C35"/>
    <w:rsid w:val="00B233FD"/>
    <w:rsid w:val="00B23742"/>
    <w:rsid w:val="00B23C95"/>
    <w:rsid w:val="00B24DBB"/>
    <w:rsid w:val="00B25134"/>
    <w:rsid w:val="00B25A01"/>
    <w:rsid w:val="00B26A67"/>
    <w:rsid w:val="00B27D93"/>
    <w:rsid w:val="00B300FD"/>
    <w:rsid w:val="00B30568"/>
    <w:rsid w:val="00B318D6"/>
    <w:rsid w:val="00B31FD3"/>
    <w:rsid w:val="00B333F3"/>
    <w:rsid w:val="00B33CC1"/>
    <w:rsid w:val="00B35306"/>
    <w:rsid w:val="00B35FB2"/>
    <w:rsid w:val="00B360B2"/>
    <w:rsid w:val="00B36910"/>
    <w:rsid w:val="00B375D8"/>
    <w:rsid w:val="00B42B9D"/>
    <w:rsid w:val="00B430C6"/>
    <w:rsid w:val="00B444A0"/>
    <w:rsid w:val="00B44ACF"/>
    <w:rsid w:val="00B47A60"/>
    <w:rsid w:val="00B510E4"/>
    <w:rsid w:val="00B52B84"/>
    <w:rsid w:val="00B55233"/>
    <w:rsid w:val="00B55712"/>
    <w:rsid w:val="00B5578C"/>
    <w:rsid w:val="00B5622D"/>
    <w:rsid w:val="00B60094"/>
    <w:rsid w:val="00B617D2"/>
    <w:rsid w:val="00B62A54"/>
    <w:rsid w:val="00B63624"/>
    <w:rsid w:val="00B63D86"/>
    <w:rsid w:val="00B6428E"/>
    <w:rsid w:val="00B64864"/>
    <w:rsid w:val="00B67571"/>
    <w:rsid w:val="00B7013E"/>
    <w:rsid w:val="00B70B17"/>
    <w:rsid w:val="00B70CDE"/>
    <w:rsid w:val="00B71484"/>
    <w:rsid w:val="00B7197A"/>
    <w:rsid w:val="00B71C36"/>
    <w:rsid w:val="00B72078"/>
    <w:rsid w:val="00B725FA"/>
    <w:rsid w:val="00B74CEA"/>
    <w:rsid w:val="00B75E7C"/>
    <w:rsid w:val="00B75F21"/>
    <w:rsid w:val="00B77A2A"/>
    <w:rsid w:val="00B80E5C"/>
    <w:rsid w:val="00B815EF"/>
    <w:rsid w:val="00B82CF7"/>
    <w:rsid w:val="00B82E1B"/>
    <w:rsid w:val="00B84549"/>
    <w:rsid w:val="00B8482F"/>
    <w:rsid w:val="00B8506C"/>
    <w:rsid w:val="00B854C6"/>
    <w:rsid w:val="00B86CF3"/>
    <w:rsid w:val="00B9082B"/>
    <w:rsid w:val="00B91F12"/>
    <w:rsid w:val="00B93521"/>
    <w:rsid w:val="00B93FA3"/>
    <w:rsid w:val="00B9798B"/>
    <w:rsid w:val="00B97EF3"/>
    <w:rsid w:val="00BA0167"/>
    <w:rsid w:val="00BA0959"/>
    <w:rsid w:val="00BA232C"/>
    <w:rsid w:val="00BA2C28"/>
    <w:rsid w:val="00BA3C42"/>
    <w:rsid w:val="00BA4DA2"/>
    <w:rsid w:val="00BA5059"/>
    <w:rsid w:val="00BA5124"/>
    <w:rsid w:val="00BA667A"/>
    <w:rsid w:val="00BA6CF5"/>
    <w:rsid w:val="00BB0219"/>
    <w:rsid w:val="00BB052F"/>
    <w:rsid w:val="00BB0A9D"/>
    <w:rsid w:val="00BB11AF"/>
    <w:rsid w:val="00BB2404"/>
    <w:rsid w:val="00BB2E5D"/>
    <w:rsid w:val="00BB3781"/>
    <w:rsid w:val="00BB3A25"/>
    <w:rsid w:val="00BB484F"/>
    <w:rsid w:val="00BC033E"/>
    <w:rsid w:val="00BC0DC9"/>
    <w:rsid w:val="00BC14E1"/>
    <w:rsid w:val="00BC1DCF"/>
    <w:rsid w:val="00BC2837"/>
    <w:rsid w:val="00BC3C37"/>
    <w:rsid w:val="00BC40AD"/>
    <w:rsid w:val="00BC66D4"/>
    <w:rsid w:val="00BC7E9B"/>
    <w:rsid w:val="00BD28BB"/>
    <w:rsid w:val="00BD2F71"/>
    <w:rsid w:val="00BD3501"/>
    <w:rsid w:val="00BD3E60"/>
    <w:rsid w:val="00BD4446"/>
    <w:rsid w:val="00BD56FD"/>
    <w:rsid w:val="00BD7C86"/>
    <w:rsid w:val="00BE01F7"/>
    <w:rsid w:val="00BE31B6"/>
    <w:rsid w:val="00BE566A"/>
    <w:rsid w:val="00BE590A"/>
    <w:rsid w:val="00BE5C79"/>
    <w:rsid w:val="00BE68B9"/>
    <w:rsid w:val="00BF144F"/>
    <w:rsid w:val="00BF3F43"/>
    <w:rsid w:val="00BF6D25"/>
    <w:rsid w:val="00BF6E9C"/>
    <w:rsid w:val="00BF71E8"/>
    <w:rsid w:val="00BF7C49"/>
    <w:rsid w:val="00C000D3"/>
    <w:rsid w:val="00C000EE"/>
    <w:rsid w:val="00C00F34"/>
    <w:rsid w:val="00C01DF3"/>
    <w:rsid w:val="00C021C2"/>
    <w:rsid w:val="00C02E2F"/>
    <w:rsid w:val="00C03644"/>
    <w:rsid w:val="00C03EC4"/>
    <w:rsid w:val="00C05146"/>
    <w:rsid w:val="00C11A3B"/>
    <w:rsid w:val="00C129FF"/>
    <w:rsid w:val="00C1367A"/>
    <w:rsid w:val="00C13A51"/>
    <w:rsid w:val="00C13AD5"/>
    <w:rsid w:val="00C141DB"/>
    <w:rsid w:val="00C153C8"/>
    <w:rsid w:val="00C163E9"/>
    <w:rsid w:val="00C164B6"/>
    <w:rsid w:val="00C167FF"/>
    <w:rsid w:val="00C2008C"/>
    <w:rsid w:val="00C203D2"/>
    <w:rsid w:val="00C20D14"/>
    <w:rsid w:val="00C241D3"/>
    <w:rsid w:val="00C254FD"/>
    <w:rsid w:val="00C260C9"/>
    <w:rsid w:val="00C2713F"/>
    <w:rsid w:val="00C276C3"/>
    <w:rsid w:val="00C27F90"/>
    <w:rsid w:val="00C303B4"/>
    <w:rsid w:val="00C31C67"/>
    <w:rsid w:val="00C32496"/>
    <w:rsid w:val="00C324D1"/>
    <w:rsid w:val="00C33B85"/>
    <w:rsid w:val="00C351AA"/>
    <w:rsid w:val="00C357AE"/>
    <w:rsid w:val="00C35C03"/>
    <w:rsid w:val="00C3613F"/>
    <w:rsid w:val="00C3642E"/>
    <w:rsid w:val="00C368AF"/>
    <w:rsid w:val="00C37158"/>
    <w:rsid w:val="00C4041D"/>
    <w:rsid w:val="00C40894"/>
    <w:rsid w:val="00C41631"/>
    <w:rsid w:val="00C41DD8"/>
    <w:rsid w:val="00C42676"/>
    <w:rsid w:val="00C4272F"/>
    <w:rsid w:val="00C43063"/>
    <w:rsid w:val="00C4386F"/>
    <w:rsid w:val="00C4390F"/>
    <w:rsid w:val="00C46942"/>
    <w:rsid w:val="00C51125"/>
    <w:rsid w:val="00C52391"/>
    <w:rsid w:val="00C54ABE"/>
    <w:rsid w:val="00C54F0C"/>
    <w:rsid w:val="00C55161"/>
    <w:rsid w:val="00C56B51"/>
    <w:rsid w:val="00C56FC7"/>
    <w:rsid w:val="00C5718E"/>
    <w:rsid w:val="00C61DA0"/>
    <w:rsid w:val="00C6208D"/>
    <w:rsid w:val="00C623C5"/>
    <w:rsid w:val="00C62DA3"/>
    <w:rsid w:val="00C63306"/>
    <w:rsid w:val="00C64F05"/>
    <w:rsid w:val="00C67459"/>
    <w:rsid w:val="00C73BB6"/>
    <w:rsid w:val="00C74427"/>
    <w:rsid w:val="00C75094"/>
    <w:rsid w:val="00C75541"/>
    <w:rsid w:val="00C76285"/>
    <w:rsid w:val="00C776BE"/>
    <w:rsid w:val="00C778CB"/>
    <w:rsid w:val="00C77F23"/>
    <w:rsid w:val="00C824A4"/>
    <w:rsid w:val="00C838BE"/>
    <w:rsid w:val="00C83AB9"/>
    <w:rsid w:val="00C84471"/>
    <w:rsid w:val="00C866AF"/>
    <w:rsid w:val="00C86CE3"/>
    <w:rsid w:val="00C87B50"/>
    <w:rsid w:val="00C91309"/>
    <w:rsid w:val="00C91648"/>
    <w:rsid w:val="00C92750"/>
    <w:rsid w:val="00C946B5"/>
    <w:rsid w:val="00C95515"/>
    <w:rsid w:val="00C95C4D"/>
    <w:rsid w:val="00C976CD"/>
    <w:rsid w:val="00CA1BA4"/>
    <w:rsid w:val="00CA576F"/>
    <w:rsid w:val="00CA6959"/>
    <w:rsid w:val="00CA7B46"/>
    <w:rsid w:val="00CA7E2A"/>
    <w:rsid w:val="00CB11F0"/>
    <w:rsid w:val="00CB14E7"/>
    <w:rsid w:val="00CB17A0"/>
    <w:rsid w:val="00CB1E19"/>
    <w:rsid w:val="00CB4C78"/>
    <w:rsid w:val="00CB5401"/>
    <w:rsid w:val="00CB58D6"/>
    <w:rsid w:val="00CB7318"/>
    <w:rsid w:val="00CB759E"/>
    <w:rsid w:val="00CB7B82"/>
    <w:rsid w:val="00CC0F7F"/>
    <w:rsid w:val="00CC124E"/>
    <w:rsid w:val="00CC2107"/>
    <w:rsid w:val="00CC267C"/>
    <w:rsid w:val="00CC33C8"/>
    <w:rsid w:val="00CC34D4"/>
    <w:rsid w:val="00CC4D3B"/>
    <w:rsid w:val="00CC65E1"/>
    <w:rsid w:val="00CC7061"/>
    <w:rsid w:val="00CC7179"/>
    <w:rsid w:val="00CC7CF9"/>
    <w:rsid w:val="00CC7ED5"/>
    <w:rsid w:val="00CD0AE3"/>
    <w:rsid w:val="00CD12EE"/>
    <w:rsid w:val="00CD2902"/>
    <w:rsid w:val="00CD44A2"/>
    <w:rsid w:val="00CD5A62"/>
    <w:rsid w:val="00CD5D34"/>
    <w:rsid w:val="00CD6692"/>
    <w:rsid w:val="00CD7706"/>
    <w:rsid w:val="00CE00E4"/>
    <w:rsid w:val="00CE0468"/>
    <w:rsid w:val="00CE1E86"/>
    <w:rsid w:val="00CE2CB4"/>
    <w:rsid w:val="00CE2F13"/>
    <w:rsid w:val="00CE5FC5"/>
    <w:rsid w:val="00CE7853"/>
    <w:rsid w:val="00CE78D3"/>
    <w:rsid w:val="00CE7E6D"/>
    <w:rsid w:val="00CF0847"/>
    <w:rsid w:val="00CF0B44"/>
    <w:rsid w:val="00CF305C"/>
    <w:rsid w:val="00CF3882"/>
    <w:rsid w:val="00CF636D"/>
    <w:rsid w:val="00CF667C"/>
    <w:rsid w:val="00D0021D"/>
    <w:rsid w:val="00D00F83"/>
    <w:rsid w:val="00D01E0D"/>
    <w:rsid w:val="00D01FF0"/>
    <w:rsid w:val="00D03910"/>
    <w:rsid w:val="00D050C2"/>
    <w:rsid w:val="00D051AA"/>
    <w:rsid w:val="00D06239"/>
    <w:rsid w:val="00D075BC"/>
    <w:rsid w:val="00D07CC2"/>
    <w:rsid w:val="00D10D7E"/>
    <w:rsid w:val="00D13545"/>
    <w:rsid w:val="00D13740"/>
    <w:rsid w:val="00D1392E"/>
    <w:rsid w:val="00D153DC"/>
    <w:rsid w:val="00D1548D"/>
    <w:rsid w:val="00D16C74"/>
    <w:rsid w:val="00D209B1"/>
    <w:rsid w:val="00D214CB"/>
    <w:rsid w:val="00D22757"/>
    <w:rsid w:val="00D23FBB"/>
    <w:rsid w:val="00D2451E"/>
    <w:rsid w:val="00D25E34"/>
    <w:rsid w:val="00D26BB3"/>
    <w:rsid w:val="00D30270"/>
    <w:rsid w:val="00D3070B"/>
    <w:rsid w:val="00D30E21"/>
    <w:rsid w:val="00D316BD"/>
    <w:rsid w:val="00D32CA8"/>
    <w:rsid w:val="00D35076"/>
    <w:rsid w:val="00D37C41"/>
    <w:rsid w:val="00D406C8"/>
    <w:rsid w:val="00D42E53"/>
    <w:rsid w:val="00D46705"/>
    <w:rsid w:val="00D46B0F"/>
    <w:rsid w:val="00D46B19"/>
    <w:rsid w:val="00D47171"/>
    <w:rsid w:val="00D479E8"/>
    <w:rsid w:val="00D47C89"/>
    <w:rsid w:val="00D47DA0"/>
    <w:rsid w:val="00D508EE"/>
    <w:rsid w:val="00D5119D"/>
    <w:rsid w:val="00D51641"/>
    <w:rsid w:val="00D54832"/>
    <w:rsid w:val="00D54A42"/>
    <w:rsid w:val="00D55C39"/>
    <w:rsid w:val="00D57153"/>
    <w:rsid w:val="00D57D4B"/>
    <w:rsid w:val="00D62521"/>
    <w:rsid w:val="00D62A47"/>
    <w:rsid w:val="00D63999"/>
    <w:rsid w:val="00D63F99"/>
    <w:rsid w:val="00D65615"/>
    <w:rsid w:val="00D70E7C"/>
    <w:rsid w:val="00D7246E"/>
    <w:rsid w:val="00D73C44"/>
    <w:rsid w:val="00D744AD"/>
    <w:rsid w:val="00D74C89"/>
    <w:rsid w:val="00D756CE"/>
    <w:rsid w:val="00D76381"/>
    <w:rsid w:val="00D7686E"/>
    <w:rsid w:val="00D77798"/>
    <w:rsid w:val="00D80ADC"/>
    <w:rsid w:val="00D81594"/>
    <w:rsid w:val="00D821F6"/>
    <w:rsid w:val="00D82F65"/>
    <w:rsid w:val="00D83401"/>
    <w:rsid w:val="00D8450F"/>
    <w:rsid w:val="00D859F5"/>
    <w:rsid w:val="00D85CEC"/>
    <w:rsid w:val="00D86845"/>
    <w:rsid w:val="00D873BF"/>
    <w:rsid w:val="00D8758D"/>
    <w:rsid w:val="00D9470F"/>
    <w:rsid w:val="00D94871"/>
    <w:rsid w:val="00D94EDA"/>
    <w:rsid w:val="00D952B9"/>
    <w:rsid w:val="00D96326"/>
    <w:rsid w:val="00D9681D"/>
    <w:rsid w:val="00D96FD8"/>
    <w:rsid w:val="00DA117A"/>
    <w:rsid w:val="00DA1C01"/>
    <w:rsid w:val="00DA266B"/>
    <w:rsid w:val="00DA29C3"/>
    <w:rsid w:val="00DA3823"/>
    <w:rsid w:val="00DA3A88"/>
    <w:rsid w:val="00DA5F15"/>
    <w:rsid w:val="00DB03E6"/>
    <w:rsid w:val="00DB2785"/>
    <w:rsid w:val="00DB3593"/>
    <w:rsid w:val="00DB476F"/>
    <w:rsid w:val="00DB488D"/>
    <w:rsid w:val="00DB4C49"/>
    <w:rsid w:val="00DB73E1"/>
    <w:rsid w:val="00DB750F"/>
    <w:rsid w:val="00DB7F5B"/>
    <w:rsid w:val="00DC0C37"/>
    <w:rsid w:val="00DC1135"/>
    <w:rsid w:val="00DC1449"/>
    <w:rsid w:val="00DC1993"/>
    <w:rsid w:val="00DC1F97"/>
    <w:rsid w:val="00DC225E"/>
    <w:rsid w:val="00DC2D30"/>
    <w:rsid w:val="00DC4FD4"/>
    <w:rsid w:val="00DC7FD1"/>
    <w:rsid w:val="00DD0F01"/>
    <w:rsid w:val="00DD122D"/>
    <w:rsid w:val="00DD2B48"/>
    <w:rsid w:val="00DD359E"/>
    <w:rsid w:val="00DD3779"/>
    <w:rsid w:val="00DD3D1B"/>
    <w:rsid w:val="00DD435C"/>
    <w:rsid w:val="00DD4465"/>
    <w:rsid w:val="00DD5E1E"/>
    <w:rsid w:val="00DD74B0"/>
    <w:rsid w:val="00DE019A"/>
    <w:rsid w:val="00DE03C6"/>
    <w:rsid w:val="00DE078E"/>
    <w:rsid w:val="00DE0DB4"/>
    <w:rsid w:val="00DE1EF8"/>
    <w:rsid w:val="00DE5158"/>
    <w:rsid w:val="00DE5BEE"/>
    <w:rsid w:val="00DE7074"/>
    <w:rsid w:val="00DF0056"/>
    <w:rsid w:val="00DF0795"/>
    <w:rsid w:val="00DF13AF"/>
    <w:rsid w:val="00DF19AF"/>
    <w:rsid w:val="00DF1E45"/>
    <w:rsid w:val="00DF2545"/>
    <w:rsid w:val="00DF3B0D"/>
    <w:rsid w:val="00DF4B8F"/>
    <w:rsid w:val="00DF690B"/>
    <w:rsid w:val="00DF6977"/>
    <w:rsid w:val="00E00B6E"/>
    <w:rsid w:val="00E034CD"/>
    <w:rsid w:val="00E11C75"/>
    <w:rsid w:val="00E121D7"/>
    <w:rsid w:val="00E1253E"/>
    <w:rsid w:val="00E12585"/>
    <w:rsid w:val="00E134E5"/>
    <w:rsid w:val="00E1498E"/>
    <w:rsid w:val="00E151E9"/>
    <w:rsid w:val="00E1552A"/>
    <w:rsid w:val="00E16B07"/>
    <w:rsid w:val="00E17C40"/>
    <w:rsid w:val="00E227C9"/>
    <w:rsid w:val="00E22DC8"/>
    <w:rsid w:val="00E25791"/>
    <w:rsid w:val="00E2590C"/>
    <w:rsid w:val="00E26A81"/>
    <w:rsid w:val="00E270D0"/>
    <w:rsid w:val="00E3052E"/>
    <w:rsid w:val="00E3299C"/>
    <w:rsid w:val="00E341AC"/>
    <w:rsid w:val="00E34AEC"/>
    <w:rsid w:val="00E353A6"/>
    <w:rsid w:val="00E367C5"/>
    <w:rsid w:val="00E368AD"/>
    <w:rsid w:val="00E37384"/>
    <w:rsid w:val="00E373DC"/>
    <w:rsid w:val="00E37B2A"/>
    <w:rsid w:val="00E40017"/>
    <w:rsid w:val="00E4174F"/>
    <w:rsid w:val="00E42157"/>
    <w:rsid w:val="00E434C5"/>
    <w:rsid w:val="00E43EC9"/>
    <w:rsid w:val="00E44616"/>
    <w:rsid w:val="00E446FB"/>
    <w:rsid w:val="00E45A87"/>
    <w:rsid w:val="00E45E2B"/>
    <w:rsid w:val="00E47B50"/>
    <w:rsid w:val="00E47ECC"/>
    <w:rsid w:val="00E52A9C"/>
    <w:rsid w:val="00E52CD6"/>
    <w:rsid w:val="00E530BD"/>
    <w:rsid w:val="00E5400B"/>
    <w:rsid w:val="00E5409C"/>
    <w:rsid w:val="00E541AB"/>
    <w:rsid w:val="00E54249"/>
    <w:rsid w:val="00E544F1"/>
    <w:rsid w:val="00E549E2"/>
    <w:rsid w:val="00E54D6F"/>
    <w:rsid w:val="00E54EF8"/>
    <w:rsid w:val="00E557CF"/>
    <w:rsid w:val="00E56960"/>
    <w:rsid w:val="00E571AB"/>
    <w:rsid w:val="00E608A0"/>
    <w:rsid w:val="00E609FF"/>
    <w:rsid w:val="00E61018"/>
    <w:rsid w:val="00E615E0"/>
    <w:rsid w:val="00E62FD0"/>
    <w:rsid w:val="00E64298"/>
    <w:rsid w:val="00E6437C"/>
    <w:rsid w:val="00E6658F"/>
    <w:rsid w:val="00E6677C"/>
    <w:rsid w:val="00E70908"/>
    <w:rsid w:val="00E721B5"/>
    <w:rsid w:val="00E74280"/>
    <w:rsid w:val="00E74B2B"/>
    <w:rsid w:val="00E74BB8"/>
    <w:rsid w:val="00E74C7E"/>
    <w:rsid w:val="00E764FD"/>
    <w:rsid w:val="00E774BA"/>
    <w:rsid w:val="00E8034B"/>
    <w:rsid w:val="00E80620"/>
    <w:rsid w:val="00E80C20"/>
    <w:rsid w:val="00E80C7A"/>
    <w:rsid w:val="00E83015"/>
    <w:rsid w:val="00E837FF"/>
    <w:rsid w:val="00E84698"/>
    <w:rsid w:val="00E868FD"/>
    <w:rsid w:val="00E87707"/>
    <w:rsid w:val="00E91A9C"/>
    <w:rsid w:val="00E920A6"/>
    <w:rsid w:val="00E923FC"/>
    <w:rsid w:val="00E924E9"/>
    <w:rsid w:val="00E94415"/>
    <w:rsid w:val="00E947C8"/>
    <w:rsid w:val="00E94C8C"/>
    <w:rsid w:val="00E953D1"/>
    <w:rsid w:val="00E9712E"/>
    <w:rsid w:val="00E97389"/>
    <w:rsid w:val="00E975E2"/>
    <w:rsid w:val="00EA01E0"/>
    <w:rsid w:val="00EA0A7A"/>
    <w:rsid w:val="00EA0FEE"/>
    <w:rsid w:val="00EA35FB"/>
    <w:rsid w:val="00EA361B"/>
    <w:rsid w:val="00EA36E0"/>
    <w:rsid w:val="00EA3929"/>
    <w:rsid w:val="00EA4504"/>
    <w:rsid w:val="00EA5CE5"/>
    <w:rsid w:val="00EA6527"/>
    <w:rsid w:val="00EA6B15"/>
    <w:rsid w:val="00EA6B4A"/>
    <w:rsid w:val="00EA6B4D"/>
    <w:rsid w:val="00EA79F9"/>
    <w:rsid w:val="00EB1B22"/>
    <w:rsid w:val="00EB1D22"/>
    <w:rsid w:val="00EB35D3"/>
    <w:rsid w:val="00EB3856"/>
    <w:rsid w:val="00EB4068"/>
    <w:rsid w:val="00EB41B9"/>
    <w:rsid w:val="00EB486C"/>
    <w:rsid w:val="00EB59A7"/>
    <w:rsid w:val="00EB7BC8"/>
    <w:rsid w:val="00EC1F79"/>
    <w:rsid w:val="00EC6CFF"/>
    <w:rsid w:val="00EC766D"/>
    <w:rsid w:val="00ED000F"/>
    <w:rsid w:val="00ED0B6B"/>
    <w:rsid w:val="00ED1FA7"/>
    <w:rsid w:val="00ED6098"/>
    <w:rsid w:val="00EE09D5"/>
    <w:rsid w:val="00EE2471"/>
    <w:rsid w:val="00EE411D"/>
    <w:rsid w:val="00EE461D"/>
    <w:rsid w:val="00EE721D"/>
    <w:rsid w:val="00EE7F1E"/>
    <w:rsid w:val="00EF31F4"/>
    <w:rsid w:val="00EF47E1"/>
    <w:rsid w:val="00EF4B2D"/>
    <w:rsid w:val="00EF4D00"/>
    <w:rsid w:val="00EF7820"/>
    <w:rsid w:val="00EF7EA6"/>
    <w:rsid w:val="00F003BD"/>
    <w:rsid w:val="00F01721"/>
    <w:rsid w:val="00F01948"/>
    <w:rsid w:val="00F023D6"/>
    <w:rsid w:val="00F02532"/>
    <w:rsid w:val="00F0327F"/>
    <w:rsid w:val="00F036F9"/>
    <w:rsid w:val="00F061DB"/>
    <w:rsid w:val="00F06CD0"/>
    <w:rsid w:val="00F07732"/>
    <w:rsid w:val="00F128A9"/>
    <w:rsid w:val="00F13370"/>
    <w:rsid w:val="00F14B75"/>
    <w:rsid w:val="00F15005"/>
    <w:rsid w:val="00F15B05"/>
    <w:rsid w:val="00F2034F"/>
    <w:rsid w:val="00F22B8A"/>
    <w:rsid w:val="00F2431B"/>
    <w:rsid w:val="00F24647"/>
    <w:rsid w:val="00F25828"/>
    <w:rsid w:val="00F274A6"/>
    <w:rsid w:val="00F3066D"/>
    <w:rsid w:val="00F30A42"/>
    <w:rsid w:val="00F30BCA"/>
    <w:rsid w:val="00F31C41"/>
    <w:rsid w:val="00F329A4"/>
    <w:rsid w:val="00F33314"/>
    <w:rsid w:val="00F34E28"/>
    <w:rsid w:val="00F3520B"/>
    <w:rsid w:val="00F36644"/>
    <w:rsid w:val="00F36A19"/>
    <w:rsid w:val="00F37233"/>
    <w:rsid w:val="00F410CA"/>
    <w:rsid w:val="00F43254"/>
    <w:rsid w:val="00F4424F"/>
    <w:rsid w:val="00F44D16"/>
    <w:rsid w:val="00F45AAD"/>
    <w:rsid w:val="00F47550"/>
    <w:rsid w:val="00F476F4"/>
    <w:rsid w:val="00F47F95"/>
    <w:rsid w:val="00F5214C"/>
    <w:rsid w:val="00F54837"/>
    <w:rsid w:val="00F5491B"/>
    <w:rsid w:val="00F55A5E"/>
    <w:rsid w:val="00F57703"/>
    <w:rsid w:val="00F61BBD"/>
    <w:rsid w:val="00F61C9E"/>
    <w:rsid w:val="00F61D3F"/>
    <w:rsid w:val="00F62AC4"/>
    <w:rsid w:val="00F63A06"/>
    <w:rsid w:val="00F64284"/>
    <w:rsid w:val="00F65732"/>
    <w:rsid w:val="00F6589F"/>
    <w:rsid w:val="00F661E8"/>
    <w:rsid w:val="00F66303"/>
    <w:rsid w:val="00F6723A"/>
    <w:rsid w:val="00F67691"/>
    <w:rsid w:val="00F67986"/>
    <w:rsid w:val="00F67D98"/>
    <w:rsid w:val="00F711D9"/>
    <w:rsid w:val="00F719E5"/>
    <w:rsid w:val="00F729E6"/>
    <w:rsid w:val="00F73288"/>
    <w:rsid w:val="00F73563"/>
    <w:rsid w:val="00F7374D"/>
    <w:rsid w:val="00F74863"/>
    <w:rsid w:val="00F75380"/>
    <w:rsid w:val="00F75BC3"/>
    <w:rsid w:val="00F75EA4"/>
    <w:rsid w:val="00F760A8"/>
    <w:rsid w:val="00F764B3"/>
    <w:rsid w:val="00F8064C"/>
    <w:rsid w:val="00F80EE7"/>
    <w:rsid w:val="00F81546"/>
    <w:rsid w:val="00F818FF"/>
    <w:rsid w:val="00F82C06"/>
    <w:rsid w:val="00F83C7F"/>
    <w:rsid w:val="00F8457A"/>
    <w:rsid w:val="00F85208"/>
    <w:rsid w:val="00F853FF"/>
    <w:rsid w:val="00F85848"/>
    <w:rsid w:val="00F85A9D"/>
    <w:rsid w:val="00F9142C"/>
    <w:rsid w:val="00F91CD9"/>
    <w:rsid w:val="00F925F6"/>
    <w:rsid w:val="00F92FF1"/>
    <w:rsid w:val="00F969B9"/>
    <w:rsid w:val="00F97464"/>
    <w:rsid w:val="00F97498"/>
    <w:rsid w:val="00F97589"/>
    <w:rsid w:val="00F97C44"/>
    <w:rsid w:val="00FA02BB"/>
    <w:rsid w:val="00FA2A86"/>
    <w:rsid w:val="00FA2DFB"/>
    <w:rsid w:val="00FA416F"/>
    <w:rsid w:val="00FA591F"/>
    <w:rsid w:val="00FA5942"/>
    <w:rsid w:val="00FA6A2D"/>
    <w:rsid w:val="00FA73B2"/>
    <w:rsid w:val="00FA7A03"/>
    <w:rsid w:val="00FA7D21"/>
    <w:rsid w:val="00FB03D7"/>
    <w:rsid w:val="00FB0EA6"/>
    <w:rsid w:val="00FB1E38"/>
    <w:rsid w:val="00FB2893"/>
    <w:rsid w:val="00FB2D91"/>
    <w:rsid w:val="00FB3910"/>
    <w:rsid w:val="00FB3FDF"/>
    <w:rsid w:val="00FB45A3"/>
    <w:rsid w:val="00FB477F"/>
    <w:rsid w:val="00FB4815"/>
    <w:rsid w:val="00FB7ACE"/>
    <w:rsid w:val="00FB7B59"/>
    <w:rsid w:val="00FC06BA"/>
    <w:rsid w:val="00FC1214"/>
    <w:rsid w:val="00FC1C2E"/>
    <w:rsid w:val="00FC2380"/>
    <w:rsid w:val="00FC2548"/>
    <w:rsid w:val="00FC5071"/>
    <w:rsid w:val="00FC63FC"/>
    <w:rsid w:val="00FC6CC1"/>
    <w:rsid w:val="00FC6E00"/>
    <w:rsid w:val="00FD0AC3"/>
    <w:rsid w:val="00FD24AD"/>
    <w:rsid w:val="00FD2596"/>
    <w:rsid w:val="00FD3F97"/>
    <w:rsid w:val="00FD4D1B"/>
    <w:rsid w:val="00FD58A6"/>
    <w:rsid w:val="00FD5FF0"/>
    <w:rsid w:val="00FD63F8"/>
    <w:rsid w:val="00FD6AC5"/>
    <w:rsid w:val="00FD783C"/>
    <w:rsid w:val="00FE0213"/>
    <w:rsid w:val="00FE1080"/>
    <w:rsid w:val="00FE10D2"/>
    <w:rsid w:val="00FE14F3"/>
    <w:rsid w:val="00FE17E7"/>
    <w:rsid w:val="00FE213B"/>
    <w:rsid w:val="00FE3282"/>
    <w:rsid w:val="00FE3B54"/>
    <w:rsid w:val="00FE3CFA"/>
    <w:rsid w:val="00FE65E0"/>
    <w:rsid w:val="00FE678A"/>
    <w:rsid w:val="00FE795F"/>
    <w:rsid w:val="00FF034B"/>
    <w:rsid w:val="00FF06A1"/>
    <w:rsid w:val="00FF119C"/>
    <w:rsid w:val="00FF2A4E"/>
    <w:rsid w:val="00FF6357"/>
    <w:rsid w:val="00FF6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qFormat="1"/>
    <w:lsdException w:name="heading 8" w:uiPriority="9"/>
    <w:lsdException w:name="heading 9" w:uiPriority="9" w:qFormat="1"/>
    <w:lsdException w:name="toc 1" w:uiPriority="39" w:qFormat="1"/>
    <w:lsdException w:name="toc 2" w:uiPriority="39" w:qFormat="1"/>
    <w:lsdException w:name="toc 3" w:uiPriority="39" w:qFormat="1"/>
    <w:lsdException w:name="toc 9" w:uiPriority="39"/>
    <w:lsdException w:name="header" w:uiPriority="99"/>
    <w:lsdException w:name="footer" w:uiPriority="99"/>
    <w:lsdException w:name="caption" w:uiPriority="35" w:qFormat="1"/>
    <w:lsdException w:name="table of figures"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A361B"/>
    <w:rPr>
      <w:rFonts w:ascii="Calibri" w:hAnsi="Calibri"/>
      <w:lang w:val="en-GB"/>
    </w:rPr>
  </w:style>
  <w:style w:type="paragraph" w:styleId="Heading1">
    <w:name w:val="heading 1"/>
    <w:aliases w:val="h1,Outline1,Main Section,Unnumbered 1,Numbered 1,Unnumbered,Oscar Faber 1,Section,chapter heading,Chapter Hdg,Heading,Chapter Heading2,Ch,Chapter,2.0 Heading,Section Heading,Hoofdstuk,L1,chapter,Numbered - 1,CBC Heading 1,Level 1,H1,H11,H12,2"/>
    <w:basedOn w:val="Heading2"/>
    <w:next w:val="Normal"/>
    <w:link w:val="Heading1Char"/>
    <w:uiPriority w:val="9"/>
    <w:qFormat/>
    <w:rsid w:val="002A0A34"/>
    <w:pPr>
      <w:pageBreakBefore/>
      <w:numPr>
        <w:ilvl w:val="0"/>
      </w:numPr>
      <w:spacing w:after="240"/>
      <w:ind w:left="431" w:hanging="431"/>
      <w:outlineLvl w:val="0"/>
    </w:pPr>
    <w:rPr>
      <w:sz w:val="44"/>
      <w:szCs w:val="44"/>
    </w:rPr>
  </w:style>
  <w:style w:type="paragraph" w:styleId="Heading2">
    <w:name w:val="heading 2"/>
    <w:basedOn w:val="Heading3"/>
    <w:next w:val="Normal"/>
    <w:link w:val="Heading2Char"/>
    <w:uiPriority w:val="9"/>
    <w:unhideWhenUsed/>
    <w:qFormat/>
    <w:rsid w:val="002531E6"/>
    <w:pPr>
      <w:keepNext/>
      <w:numPr>
        <w:ilvl w:val="1"/>
      </w:numPr>
      <w:spacing w:after="200"/>
      <w:ind w:left="1145" w:hanging="578"/>
      <w:outlineLvl w:val="1"/>
    </w:pPr>
    <w:rPr>
      <w:color w:val="4F6228"/>
    </w:rPr>
  </w:style>
  <w:style w:type="paragraph" w:styleId="Heading3">
    <w:name w:val="heading 3"/>
    <w:basedOn w:val="paragraph"/>
    <w:next w:val="Normal"/>
    <w:link w:val="Heading3Char"/>
    <w:uiPriority w:val="9"/>
    <w:unhideWhenUsed/>
    <w:qFormat/>
    <w:rsid w:val="002531E6"/>
    <w:pPr>
      <w:numPr>
        <w:ilvl w:val="2"/>
        <w:numId w:val="8"/>
      </w:numPr>
      <w:spacing w:after="120"/>
      <w:outlineLvl w:val="2"/>
    </w:pPr>
    <w:rPr>
      <w:rFonts w:ascii="Calibri" w:hAnsi="Calibri"/>
      <w:b/>
    </w:rPr>
  </w:style>
  <w:style w:type="paragraph" w:styleId="Heading4">
    <w:name w:val="heading 4"/>
    <w:basedOn w:val="Normal"/>
    <w:next w:val="Normal"/>
    <w:link w:val="Heading4Char"/>
    <w:uiPriority w:val="9"/>
    <w:unhideWhenUsed/>
    <w:rsid w:val="0017501D"/>
    <w:pPr>
      <w:keepNext/>
      <w:keepLines/>
      <w:numPr>
        <w:ilvl w:val="3"/>
        <w:numId w:val="8"/>
      </w:numPr>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rsid w:val="0017501D"/>
    <w:pPr>
      <w:keepNext/>
      <w:keepLines/>
      <w:numPr>
        <w:ilvl w:val="4"/>
        <w:numId w:val="8"/>
      </w:numPr>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rsid w:val="0017501D"/>
    <w:pPr>
      <w:keepNext/>
      <w:keepLines/>
      <w:numPr>
        <w:ilvl w:val="5"/>
        <w:numId w:val="8"/>
      </w:numPr>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aliases w:val="AQA App Head 2"/>
    <w:basedOn w:val="Normal"/>
    <w:next w:val="Normal"/>
    <w:link w:val="Heading7Char"/>
    <w:uiPriority w:val="9"/>
    <w:unhideWhenUsed/>
    <w:qFormat/>
    <w:rsid w:val="0017501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17501D"/>
    <w:pPr>
      <w:keepNext/>
      <w:keepLines/>
      <w:numPr>
        <w:ilvl w:val="7"/>
        <w:numId w:val="8"/>
      </w:numPr>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aliases w:val="Heading No Number"/>
    <w:basedOn w:val="Heading1"/>
    <w:next w:val="Normal"/>
    <w:link w:val="Heading9Char"/>
    <w:uiPriority w:val="9"/>
    <w:unhideWhenUsed/>
    <w:qFormat/>
    <w:rsid w:val="00DC4FD4"/>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link w:val="CaptionChar"/>
    <w:uiPriority w:val="35"/>
    <w:unhideWhenUsed/>
    <w:qFormat/>
    <w:rsid w:val="00E571AB"/>
    <w:pPr>
      <w:spacing w:line="240" w:lineRule="auto"/>
      <w:jc w:val="center"/>
    </w:pPr>
    <w:rPr>
      <w:b/>
      <w:bCs/>
      <w:color w:val="4F6228"/>
      <w:sz w:val="24"/>
      <w:szCs w:val="24"/>
    </w:rPr>
  </w:style>
  <w:style w:type="character" w:styleId="EndnoteReference">
    <w:name w:val="endnote reference"/>
    <w:semiHidden/>
    <w:rsid w:val="0087496E"/>
    <w:rPr>
      <w:strike w:val="0"/>
      <w:dstrike w:val="0"/>
      <w:vertAlign w:val="baseline"/>
    </w:rPr>
  </w:style>
  <w:style w:type="paragraph" w:styleId="EndnoteText">
    <w:name w:val="endnote text"/>
    <w:basedOn w:val="Normal"/>
    <w:link w:val="EndnoteTextChar"/>
    <w:uiPriority w:val="99"/>
    <w:semiHidden/>
    <w:rsid w:val="00AD13DC"/>
  </w:style>
  <w:style w:type="character" w:styleId="FootnoteReference">
    <w:name w:val="footnote reference"/>
    <w:semiHidden/>
    <w:rsid w:val="00EF4D00"/>
    <w:rPr>
      <w:rFonts w:ascii="Times New Roman" w:hAnsi="Times New Roman"/>
      <w:b/>
      <w:i w:val="0"/>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uiPriority w:val="99"/>
    <w:rsid w:val="00690691"/>
    <w:pPr>
      <w:spacing w:after="0"/>
    </w:pPr>
  </w:style>
  <w:style w:type="paragraph" w:styleId="TOC1">
    <w:name w:val="toc 1"/>
    <w:basedOn w:val="Normal"/>
    <w:uiPriority w:val="39"/>
    <w:qFormat/>
    <w:rsid w:val="006F7F7F"/>
    <w:pPr>
      <w:tabs>
        <w:tab w:val="left" w:pos="851"/>
        <w:tab w:val="right" w:leader="dot" w:pos="9639"/>
      </w:tabs>
      <w:spacing w:before="200" w:after="0"/>
    </w:pPr>
  </w:style>
  <w:style w:type="paragraph" w:styleId="TOC2">
    <w:name w:val="toc 2"/>
    <w:basedOn w:val="Normal"/>
    <w:uiPriority w:val="39"/>
    <w:qFormat/>
    <w:rsid w:val="00371B78"/>
    <w:pPr>
      <w:tabs>
        <w:tab w:val="left" w:pos="851"/>
        <w:tab w:val="right" w:pos="9639"/>
      </w:tabs>
      <w:spacing w:after="0" w:line="240" w:lineRule="auto"/>
      <w:ind w:left="142"/>
    </w:pPr>
  </w:style>
  <w:style w:type="paragraph" w:styleId="TOC3">
    <w:name w:val="toc 3"/>
    <w:basedOn w:val="Normal"/>
    <w:uiPriority w:val="39"/>
    <w:qFormat/>
    <w:rsid w:val="00371B78"/>
    <w:pPr>
      <w:tabs>
        <w:tab w:val="left" w:pos="851"/>
        <w:tab w:val="right" w:pos="9639"/>
      </w:tabs>
      <w:spacing w:after="0" w:line="240" w:lineRule="auto"/>
      <w:ind w:left="284"/>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Spacing"/>
    <w:next w:val="Normal"/>
    <w:link w:val="SubtitleChar"/>
    <w:uiPriority w:val="11"/>
    <w:rsid w:val="001A79C6"/>
    <w:pPr>
      <w:jc w:val="right"/>
    </w:pPr>
    <w:rPr>
      <w:rFonts w:asciiTheme="majorHAnsi" w:eastAsiaTheme="majorEastAsia" w:hAnsiTheme="majorHAnsi" w:cstheme="majorBidi"/>
      <w:color w:val="FFFFFF" w:themeColor="background1"/>
      <w:sz w:val="72"/>
      <w:szCs w:val="72"/>
    </w:rPr>
  </w:style>
  <w:style w:type="paragraph" w:styleId="Title">
    <w:name w:val="Title"/>
    <w:basedOn w:val="Normal"/>
    <w:next w:val="Normal"/>
    <w:link w:val="TitleChar"/>
    <w:uiPriority w:val="10"/>
    <w:rsid w:val="001A79C6"/>
    <w:pPr>
      <w:jc w:val="center"/>
    </w:pPr>
    <w:rPr>
      <w:color w:val="9B2D1F" w:themeColor="accent2"/>
      <w:sz w:val="72"/>
      <w:szCs w:val="7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Calibri" w:hAnsi="Calibri"/>
      <w:lang w:val="en-GB"/>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Calibri" w:hAnsi="Calibri"/>
      <w:b/>
      <w:bCs/>
      <w:lang w:val="en-GB"/>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aliases w:val="h1 Char,Outline1 Char,Main Section Char,Unnumbered 1 Char,Numbered 1 Char,Unnumbered Char,Oscar Faber 1 Char,Section Char,chapter heading Char,Chapter Hdg Char,Heading Char,Chapter Heading2 Char,Ch Char,Chapter Char,2.0 Heading Char"/>
    <w:basedOn w:val="DefaultParagraphFont"/>
    <w:link w:val="Heading1"/>
    <w:uiPriority w:val="9"/>
    <w:rsid w:val="002A0A34"/>
    <w:rPr>
      <w:rFonts w:ascii="Calibri" w:eastAsia="Times New Roman" w:hAnsi="Calibri" w:cs="Times New Roman"/>
      <w:b/>
      <w:color w:val="4F6228"/>
      <w:sz w:val="44"/>
      <w:szCs w:val="44"/>
      <w:lang w:val="en-GB" w:eastAsia="en-GB"/>
    </w:rPr>
  </w:style>
  <w:style w:type="character" w:customStyle="1" w:styleId="Heading2Char">
    <w:name w:val="Heading 2 Char"/>
    <w:basedOn w:val="DefaultParagraphFont"/>
    <w:link w:val="Heading2"/>
    <w:uiPriority w:val="9"/>
    <w:rsid w:val="002531E6"/>
    <w:rPr>
      <w:rFonts w:ascii="Calibri" w:eastAsia="Times New Roman" w:hAnsi="Calibri" w:cs="Times New Roman"/>
      <w:b/>
      <w:color w:val="4F6228"/>
      <w:sz w:val="24"/>
      <w:szCs w:val="24"/>
      <w:lang w:val="en-GB" w:eastAsia="en-GB"/>
    </w:rPr>
  </w:style>
  <w:style w:type="character" w:customStyle="1" w:styleId="Heading3Char">
    <w:name w:val="Heading 3 Char"/>
    <w:basedOn w:val="DefaultParagraphFont"/>
    <w:link w:val="Heading3"/>
    <w:uiPriority w:val="9"/>
    <w:rsid w:val="002531E6"/>
    <w:rPr>
      <w:rFonts w:ascii="Calibri" w:eastAsia="Times New Roman" w:hAnsi="Calibri" w:cs="Times New Roman"/>
      <w:b/>
      <w:sz w:val="24"/>
      <w:szCs w:val="24"/>
      <w:lang w:val="en-GB" w:eastAsia="en-GB"/>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lang w:val="en-GB"/>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lang w:val="en-GB"/>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lang w:val="en-GB"/>
    </w:rPr>
  </w:style>
  <w:style w:type="character" w:customStyle="1" w:styleId="Heading7Char">
    <w:name w:val="Heading 7 Char"/>
    <w:aliases w:val="AQA App Head 2 Char"/>
    <w:basedOn w:val="DefaultParagraphFont"/>
    <w:link w:val="Heading7"/>
    <w:uiPriority w:val="9"/>
    <w:rsid w:val="0017501D"/>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lang w:val="en-GB"/>
    </w:rPr>
  </w:style>
  <w:style w:type="character" w:customStyle="1" w:styleId="Heading9Char">
    <w:name w:val="Heading 9 Char"/>
    <w:aliases w:val="Heading No Number Char"/>
    <w:basedOn w:val="DefaultParagraphFont"/>
    <w:link w:val="Heading9"/>
    <w:uiPriority w:val="9"/>
    <w:rsid w:val="00DC4FD4"/>
    <w:rPr>
      <w:rFonts w:ascii="GE Inspira" w:eastAsia="Times New Roman" w:hAnsi="GE Inspira" w:cs="Times New Roman"/>
      <w:b/>
      <w:color w:val="4F6228"/>
      <w:sz w:val="44"/>
      <w:szCs w:val="44"/>
      <w:lang w:val="en-GB" w:eastAsia="en-GB"/>
    </w:rPr>
  </w:style>
  <w:style w:type="character" w:customStyle="1" w:styleId="TitleChar">
    <w:name w:val="Title Char"/>
    <w:basedOn w:val="DefaultParagraphFont"/>
    <w:link w:val="Title"/>
    <w:uiPriority w:val="10"/>
    <w:rsid w:val="001A79C6"/>
    <w:rPr>
      <w:color w:val="9B2D1F" w:themeColor="accent2"/>
      <w:sz w:val="72"/>
      <w:szCs w:val="72"/>
      <w:lang w:val="en-GB"/>
    </w:rPr>
  </w:style>
  <w:style w:type="character" w:customStyle="1" w:styleId="SubtitleChar">
    <w:name w:val="Subtitle Char"/>
    <w:basedOn w:val="DefaultParagraphFont"/>
    <w:link w:val="Subtitle"/>
    <w:uiPriority w:val="11"/>
    <w:rsid w:val="001A79C6"/>
    <w:rPr>
      <w:rFonts w:asciiTheme="majorHAnsi" w:eastAsiaTheme="majorEastAsia" w:hAnsiTheme="majorHAnsi" w:cstheme="majorBidi"/>
      <w:color w:val="FFFFFF" w:themeColor="background1"/>
      <w:sz w:val="72"/>
      <w:szCs w:val="72"/>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link w:val="ListParagraphChar"/>
    <w:uiPriority w:val="34"/>
    <w:qFormat/>
    <w:rsid w:val="0017501D"/>
    <w:pPr>
      <w:numPr>
        <w:numId w:val="5"/>
      </w:numPr>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rsid w:val="0017501D"/>
    <w:rPr>
      <w:smallCaps/>
      <w:color w:val="9B2D1F" w:themeColor="accent2"/>
      <w:u w:val="single"/>
    </w:rPr>
  </w:style>
  <w:style w:type="character" w:styleId="IntenseReference">
    <w:name w:val="Intense Reference"/>
    <w:basedOn w:val="DefaultParagraphFont"/>
    <w:uiPriority w:val="32"/>
    <w:rsid w:val="0017501D"/>
    <w:rPr>
      <w:b/>
      <w:bCs/>
      <w:smallCaps/>
      <w:color w:val="9B2D1F" w:themeColor="accent2"/>
      <w:spacing w:val="5"/>
      <w:u w:val="single"/>
    </w:rPr>
  </w:style>
  <w:style w:type="character" w:styleId="BookTitle">
    <w:name w:val="Book Title"/>
    <w:basedOn w:val="DefaultParagraphFont"/>
    <w:uiPriority w:val="33"/>
    <w:rsid w:val="0017501D"/>
    <w:rPr>
      <w:b/>
      <w:bCs/>
      <w:smallCaps/>
      <w:spacing w:val="5"/>
    </w:rPr>
  </w:style>
  <w:style w:type="paragraph" w:styleId="TOCHeading">
    <w:name w:val="TOC Heading"/>
    <w:basedOn w:val="Heading1"/>
    <w:next w:val="Normal"/>
    <w:uiPriority w:val="39"/>
    <w:unhideWhenUsed/>
    <w:qFormat/>
    <w:rsid w:val="00934891"/>
    <w:pPr>
      <w:pageBreakBefore w:val="0"/>
      <w:numPr>
        <w:numId w:val="0"/>
      </w:num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PlaceholderText">
    <w:name w:val="Placeholder Text"/>
    <w:basedOn w:val="DefaultParagraphFont"/>
    <w:uiPriority w:val="99"/>
    <w:semiHidden/>
    <w:rsid w:val="001A79C6"/>
    <w:rPr>
      <w:color w:val="808080"/>
    </w:rPr>
  </w:style>
  <w:style w:type="paragraph" w:customStyle="1" w:styleId="AppendixTitle">
    <w:name w:val="Appendix Title"/>
    <w:basedOn w:val="ListParagraph"/>
    <w:next w:val="Normal"/>
    <w:link w:val="AppendixTitleChar"/>
    <w:rsid w:val="00F22B8A"/>
    <w:pPr>
      <w:numPr>
        <w:numId w:val="0"/>
      </w:numPr>
      <w:ind w:left="2835" w:hanging="2835"/>
    </w:pPr>
    <w:rPr>
      <w:color w:val="4F6228"/>
      <w:sz w:val="44"/>
      <w:szCs w:val="44"/>
    </w:rPr>
  </w:style>
  <w:style w:type="numbering" w:customStyle="1" w:styleId="Appendices">
    <w:name w:val="Appendices"/>
    <w:uiPriority w:val="99"/>
    <w:rsid w:val="00D47C89"/>
    <w:pPr>
      <w:numPr>
        <w:numId w:val="3"/>
      </w:numPr>
    </w:pPr>
  </w:style>
  <w:style w:type="character" w:customStyle="1" w:styleId="AppendixTitleChar">
    <w:name w:val="Appendix Title Char"/>
    <w:basedOn w:val="DefaultParagraphFont"/>
    <w:link w:val="AppendixTitle"/>
    <w:rsid w:val="00F22B8A"/>
    <w:rPr>
      <w:color w:val="4F6228"/>
      <w:sz w:val="44"/>
      <w:szCs w:val="44"/>
      <w:lang w:val="en-GB"/>
    </w:rPr>
  </w:style>
  <w:style w:type="paragraph" w:customStyle="1" w:styleId="AppTitle">
    <w:name w:val="App.Title"/>
    <w:basedOn w:val="ListParagraph"/>
    <w:next w:val="Normal"/>
    <w:link w:val="AppTitleChar"/>
    <w:qFormat/>
    <w:rsid w:val="003F5F6A"/>
    <w:pPr>
      <w:pageBreakBefore/>
      <w:numPr>
        <w:numId w:val="9"/>
      </w:numPr>
    </w:pPr>
    <w:rPr>
      <w:rFonts w:eastAsia="Arial"/>
      <w:b/>
      <w:color w:val="4F6228"/>
      <w:sz w:val="44"/>
      <w:szCs w:val="44"/>
    </w:rPr>
  </w:style>
  <w:style w:type="paragraph" w:customStyle="1" w:styleId="Apphead1">
    <w:name w:val="App.head1"/>
    <w:basedOn w:val="ListParagraph"/>
    <w:next w:val="Normal"/>
    <w:link w:val="Apphead1Char"/>
    <w:qFormat/>
    <w:rsid w:val="00730050"/>
    <w:pPr>
      <w:keepNext/>
      <w:numPr>
        <w:ilvl w:val="1"/>
        <w:numId w:val="9"/>
      </w:numPr>
      <w:ind w:left="720"/>
    </w:pPr>
    <w:rPr>
      <w:rFonts w:eastAsia="Arial"/>
      <w:b/>
      <w:color w:val="4F6228"/>
      <w:sz w:val="26"/>
      <w:szCs w:val="26"/>
    </w:rPr>
  </w:style>
  <w:style w:type="character" w:customStyle="1" w:styleId="ListParagraphChar">
    <w:name w:val="List Paragraph Char"/>
    <w:basedOn w:val="DefaultParagraphFont"/>
    <w:link w:val="ListParagraph"/>
    <w:uiPriority w:val="34"/>
    <w:rsid w:val="00D13545"/>
    <w:rPr>
      <w:rFonts w:ascii="Calibri" w:hAnsi="Calibri"/>
      <w:lang w:val="en-GB"/>
    </w:rPr>
  </w:style>
  <w:style w:type="character" w:customStyle="1" w:styleId="AppTitleChar">
    <w:name w:val="App.Title Char"/>
    <w:basedOn w:val="ListParagraphChar"/>
    <w:link w:val="AppTitle"/>
    <w:rsid w:val="003F5F6A"/>
    <w:rPr>
      <w:rFonts w:ascii="Calibri" w:eastAsia="Arial" w:hAnsi="Calibri"/>
      <w:b/>
      <w:color w:val="4F6228"/>
      <w:sz w:val="44"/>
      <w:szCs w:val="44"/>
      <w:lang w:val="en-GB"/>
    </w:rPr>
  </w:style>
  <w:style w:type="character" w:customStyle="1" w:styleId="Apphead1Char">
    <w:name w:val="App.head1 Char"/>
    <w:basedOn w:val="AppTitleChar"/>
    <w:link w:val="Apphead1"/>
    <w:rsid w:val="00730050"/>
    <w:rPr>
      <w:rFonts w:ascii="Calibri" w:eastAsia="Arial" w:hAnsi="Calibri"/>
      <w:b/>
      <w:color w:val="4F6228"/>
      <w:sz w:val="26"/>
      <w:szCs w:val="26"/>
      <w:lang w:val="en-GB"/>
    </w:rPr>
  </w:style>
  <w:style w:type="table" w:styleId="TableGrid">
    <w:name w:val="Table Grid"/>
    <w:basedOn w:val="TableNormal"/>
    <w:uiPriority w:val="59"/>
    <w:rsid w:val="00496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Headings"/>
    <w:basedOn w:val="Caption"/>
    <w:link w:val="TableHeadingsChar"/>
    <w:qFormat/>
    <w:rsid w:val="0049621C"/>
    <w:pPr>
      <w:spacing w:before="120" w:after="120"/>
    </w:pPr>
    <w:rPr>
      <w:u w:color="000000"/>
    </w:rPr>
  </w:style>
  <w:style w:type="character" w:customStyle="1" w:styleId="TableHeadingsChar">
    <w:name w:val="TableHeadings Char"/>
    <w:basedOn w:val="DefaultParagraphFont"/>
    <w:link w:val="TableHeadings"/>
    <w:rsid w:val="0049621C"/>
    <w:rPr>
      <w:rFonts w:ascii="Gill Sans MT" w:hAnsi="Gill Sans MT"/>
      <w:b/>
      <w:bCs/>
      <w:color w:val="4F6228"/>
      <w:sz w:val="24"/>
      <w:szCs w:val="24"/>
      <w:u w:color="000000"/>
      <w:lang w:val="en-GB"/>
    </w:rPr>
  </w:style>
  <w:style w:type="paragraph" w:customStyle="1" w:styleId="TableParagraph">
    <w:name w:val="Table Paragraph"/>
    <w:basedOn w:val="Normal"/>
    <w:uiPriority w:val="1"/>
    <w:qFormat/>
    <w:rsid w:val="0049621C"/>
    <w:pPr>
      <w:widowControl w:val="0"/>
      <w:spacing w:after="0" w:line="240" w:lineRule="auto"/>
    </w:pPr>
    <w:rPr>
      <w:rFonts w:eastAsiaTheme="minorHAnsi"/>
      <w:lang w:val="en-US"/>
    </w:rPr>
  </w:style>
  <w:style w:type="paragraph" w:styleId="NormalWeb">
    <w:name w:val="Normal (Web)"/>
    <w:basedOn w:val="Normal"/>
    <w:uiPriority w:val="99"/>
    <w:unhideWhenUsed/>
    <w:rsid w:val="00A275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rsid w:val="0021216D"/>
    <w:rPr>
      <w:color w:val="96A9A9" w:themeColor="followedHyperlink"/>
      <w:u w:val="single"/>
    </w:rPr>
  </w:style>
  <w:style w:type="paragraph" w:customStyle="1" w:styleId="paragraph">
    <w:name w:val="paragraph"/>
    <w:basedOn w:val="Normal"/>
    <w:rsid w:val="00060106"/>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060106"/>
  </w:style>
  <w:style w:type="character" w:customStyle="1" w:styleId="normaltextrun">
    <w:name w:val="normaltextrun"/>
    <w:basedOn w:val="DefaultParagraphFont"/>
    <w:rsid w:val="00060106"/>
  </w:style>
  <w:style w:type="character" w:customStyle="1" w:styleId="eop">
    <w:name w:val="eop"/>
    <w:basedOn w:val="DefaultParagraphFont"/>
    <w:rsid w:val="00060106"/>
  </w:style>
  <w:style w:type="character" w:customStyle="1" w:styleId="EndnoteTextChar">
    <w:name w:val="Endnote Text Char"/>
    <w:link w:val="EndnoteText"/>
    <w:uiPriority w:val="99"/>
    <w:semiHidden/>
    <w:rsid w:val="0048619A"/>
    <w:rPr>
      <w:rFonts w:ascii="Gill Sans MT" w:hAnsi="Gill Sans MT"/>
      <w:lang w:val="en-GB"/>
    </w:rPr>
  </w:style>
  <w:style w:type="paragraph" w:customStyle="1" w:styleId="ListNumber">
    <w:name w:val="ListNumber"/>
    <w:basedOn w:val="Normal"/>
    <w:rsid w:val="008A4777"/>
    <w:pPr>
      <w:numPr>
        <w:numId w:val="6"/>
      </w:numPr>
    </w:pPr>
  </w:style>
  <w:style w:type="paragraph" w:styleId="TOC9">
    <w:name w:val="toc 9"/>
    <w:basedOn w:val="Normal"/>
    <w:next w:val="Normal"/>
    <w:autoRedefine/>
    <w:uiPriority w:val="39"/>
    <w:unhideWhenUsed/>
    <w:rsid w:val="00326931"/>
    <w:pPr>
      <w:tabs>
        <w:tab w:val="right" w:leader="dot" w:pos="9737"/>
      </w:tabs>
      <w:spacing w:after="100"/>
    </w:pPr>
    <w:rPr>
      <w:b/>
      <w:noProof/>
    </w:rPr>
  </w:style>
  <w:style w:type="paragraph" w:customStyle="1" w:styleId="FigureCaption">
    <w:name w:val="Figure Caption"/>
    <w:basedOn w:val="Normal"/>
    <w:next w:val="Normal"/>
    <w:link w:val="FigureCaptionChar"/>
    <w:rsid w:val="001F0793"/>
    <w:pPr>
      <w:numPr>
        <w:numId w:val="7"/>
      </w:numPr>
    </w:pPr>
    <w:rPr>
      <w:b/>
      <w:color w:val="4F6228"/>
      <w:sz w:val="26"/>
    </w:rPr>
  </w:style>
  <w:style w:type="character" w:customStyle="1" w:styleId="CaptionChar">
    <w:name w:val="Caption Char"/>
    <w:basedOn w:val="DefaultParagraphFont"/>
    <w:link w:val="Caption"/>
    <w:uiPriority w:val="35"/>
    <w:rsid w:val="00E571AB"/>
    <w:rPr>
      <w:rFonts w:ascii="Calibri" w:hAnsi="Calibri"/>
      <w:b/>
      <w:bCs/>
      <w:color w:val="4F6228"/>
      <w:sz w:val="24"/>
      <w:szCs w:val="24"/>
      <w:lang w:val="en-GB"/>
    </w:rPr>
  </w:style>
  <w:style w:type="character" w:customStyle="1" w:styleId="FigureCaptionChar">
    <w:name w:val="Figure Caption Char"/>
    <w:basedOn w:val="CaptionChar"/>
    <w:link w:val="FigureCaption"/>
    <w:rsid w:val="001F0793"/>
    <w:rPr>
      <w:rFonts w:ascii="Calibri" w:hAnsi="Calibri"/>
      <w:b/>
      <w:bCs w:val="0"/>
      <w:color w:val="4F6228"/>
      <w:sz w:val="26"/>
      <w:szCs w:val="24"/>
      <w:lang w:val="en-GB"/>
    </w:rPr>
  </w:style>
  <w:style w:type="paragraph" w:customStyle="1" w:styleId="AppHead2">
    <w:name w:val="App.Head2"/>
    <w:basedOn w:val="ListParagraph"/>
    <w:qFormat/>
    <w:rsid w:val="003F5F6A"/>
    <w:pPr>
      <w:numPr>
        <w:ilvl w:val="2"/>
        <w:numId w:val="9"/>
      </w:numPr>
      <w:ind w:left="720"/>
    </w:pPr>
    <w:rPr>
      <w:rFonts w:eastAsia="Arial"/>
      <w:b/>
      <w:sz w:val="24"/>
      <w:szCs w:val="24"/>
    </w:rPr>
  </w:style>
  <w:style w:type="paragraph" w:customStyle="1" w:styleId="BulletPoint">
    <w:name w:val="BulletPoint"/>
    <w:basedOn w:val="ListParagraph"/>
    <w:link w:val="BulletPointChar"/>
    <w:qFormat/>
    <w:rsid w:val="00005466"/>
    <w:pPr>
      <w:numPr>
        <w:numId w:val="4"/>
      </w:numPr>
    </w:pPr>
  </w:style>
  <w:style w:type="character" w:customStyle="1" w:styleId="BulletPointChar">
    <w:name w:val="BulletPoint Char"/>
    <w:basedOn w:val="ListParagraphChar"/>
    <w:link w:val="BulletPoint"/>
    <w:rsid w:val="00005466"/>
    <w:rPr>
      <w:rFonts w:ascii="Calibri" w:hAnsi="Calibri"/>
      <w:lang w:val="en-GB"/>
    </w:rPr>
  </w:style>
  <w:style w:type="paragraph" w:customStyle="1" w:styleId="Body">
    <w:name w:val="Body"/>
    <w:rsid w:val="00A04D3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numbering" w:customStyle="1" w:styleId="Lettered">
    <w:name w:val="Lettered"/>
    <w:rsid w:val="002E14DB"/>
    <w:pPr>
      <w:numPr>
        <w:numId w:val="10"/>
      </w:numPr>
    </w:pPr>
  </w:style>
  <w:style w:type="numbering" w:customStyle="1" w:styleId="Numbered">
    <w:name w:val="Numbered"/>
    <w:rsid w:val="002E14DB"/>
    <w:pPr>
      <w:numPr>
        <w:numId w:val="11"/>
      </w:numPr>
    </w:pPr>
  </w:style>
  <w:style w:type="paragraph" w:customStyle="1" w:styleId="defaultfont">
    <w:name w:val="defaultfont"/>
    <w:basedOn w:val="Normal"/>
    <w:rsid w:val="00AB6248"/>
    <w:pPr>
      <w:spacing w:before="100" w:beforeAutospacing="1" w:after="100" w:afterAutospacing="1" w:line="240" w:lineRule="auto"/>
    </w:pPr>
    <w:rPr>
      <w:rFonts w:ascii="Times New Roman" w:eastAsiaTheme="minorHAnsi" w:hAnsi="Times New Roman" w:cs="Times New Roman"/>
      <w:sz w:val="24"/>
      <w:szCs w:val="24"/>
      <w:lang w:eastAsia="en-GB"/>
    </w:rPr>
  </w:style>
  <w:style w:type="numbering" w:customStyle="1" w:styleId="Bullet">
    <w:name w:val="Bullet"/>
    <w:rsid w:val="00507CF7"/>
    <w:pPr>
      <w:numPr>
        <w:numId w:val="12"/>
      </w:numPr>
    </w:pPr>
  </w:style>
  <w:style w:type="paragraph" w:customStyle="1" w:styleId="BodyA">
    <w:name w:val="Body A"/>
    <w:rsid w:val="00587BE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GB"/>
    </w:rPr>
  </w:style>
  <w:style w:type="paragraph" w:customStyle="1" w:styleId="SectionTitle">
    <w:name w:val="SectionTitle"/>
    <w:basedOn w:val="Normal"/>
    <w:next w:val="Normal"/>
    <w:link w:val="SectionTitleChar"/>
    <w:qFormat/>
    <w:rsid w:val="001E0972"/>
    <w:rPr>
      <w:b/>
      <w:color w:val="4F6228"/>
      <w:sz w:val="44"/>
      <w:szCs w:val="44"/>
    </w:rPr>
  </w:style>
  <w:style w:type="character" w:customStyle="1" w:styleId="SectionTitleChar">
    <w:name w:val="SectionTitle Char"/>
    <w:basedOn w:val="Heading9Char"/>
    <w:link w:val="SectionTitle"/>
    <w:rsid w:val="001E0972"/>
    <w:rPr>
      <w:rFonts w:ascii="Calibri" w:eastAsia="Times New Roman" w:hAnsi="Calibri" w:cs="Times New Roman"/>
      <w:b/>
      <w:color w:val="4F6228"/>
      <w:sz w:val="44"/>
      <w:szCs w:val="44"/>
      <w:lang w:val="en-GB" w:eastAsia="en-GB"/>
    </w:rPr>
  </w:style>
  <w:style w:type="numbering" w:customStyle="1" w:styleId="Lettered1">
    <w:name w:val="Lettered1"/>
    <w:rsid w:val="00A733F1"/>
  </w:style>
  <w:style w:type="numbering" w:customStyle="1" w:styleId="Numbered1">
    <w:name w:val="Numbered1"/>
    <w:rsid w:val="00A733F1"/>
  </w:style>
  <w:style w:type="numbering" w:customStyle="1" w:styleId="Lettered2">
    <w:name w:val="Lettered2"/>
    <w:rsid w:val="005F72E6"/>
  </w:style>
  <w:style w:type="numbering" w:customStyle="1" w:styleId="Numbered2">
    <w:name w:val="Numbered2"/>
    <w:rsid w:val="005F72E6"/>
  </w:style>
  <w:style w:type="paragraph" w:customStyle="1" w:styleId="Default">
    <w:name w:val="Default"/>
    <w:rsid w:val="001014F4"/>
    <w:pPr>
      <w:autoSpaceDE w:val="0"/>
      <w:autoSpaceDN w:val="0"/>
      <w:adjustRightInd w:val="0"/>
      <w:spacing w:after="0" w:line="240" w:lineRule="auto"/>
    </w:pPr>
    <w:rPr>
      <w:rFonts w:ascii="Calibri" w:hAnsi="Calibri" w:cs="Calibri"/>
      <w:color w:val="000000"/>
      <w:sz w:val="24"/>
      <w:szCs w:val="24"/>
      <w:lang w:val="en-GB"/>
    </w:rPr>
  </w:style>
  <w:style w:type="paragraph" w:customStyle="1" w:styleId="Objective">
    <w:name w:val="Objective"/>
    <w:basedOn w:val="BulletPoint"/>
    <w:link w:val="ObjectiveChar"/>
    <w:qFormat/>
    <w:rsid w:val="00A62ABA"/>
    <w:pPr>
      <w:numPr>
        <w:numId w:val="0"/>
      </w:numPr>
      <w:tabs>
        <w:tab w:val="left" w:pos="567"/>
      </w:tabs>
      <w:ind w:left="993" w:hanging="823"/>
    </w:pPr>
  </w:style>
  <w:style w:type="character" w:customStyle="1" w:styleId="ObjectiveChar">
    <w:name w:val="Objective Char"/>
    <w:basedOn w:val="BulletPointChar"/>
    <w:link w:val="Objective"/>
    <w:rsid w:val="00A62ABA"/>
    <w:rPr>
      <w:rFonts w:ascii="Calibri" w:hAnsi="Calibri"/>
      <w:lang w:val="en-GB"/>
    </w:rPr>
  </w:style>
  <w:style w:type="numbering" w:customStyle="1" w:styleId="Lettered3">
    <w:name w:val="Lettered3"/>
    <w:rsid w:val="00B14208"/>
    <w:pPr>
      <w:numPr>
        <w:numId w:val="13"/>
      </w:numPr>
    </w:pPr>
  </w:style>
  <w:style w:type="paragraph" w:customStyle="1" w:styleId="luctext">
    <w:name w:val="luctext"/>
    <w:basedOn w:val="Normal"/>
    <w:qFormat/>
    <w:rsid w:val="00201C7B"/>
    <w:pPr>
      <w:spacing w:before="120" w:after="120" w:line="240" w:lineRule="atLeast"/>
      <w:ind w:left="680" w:hanging="680"/>
    </w:pPr>
    <w:rPr>
      <w:rFonts w:ascii="Verdana" w:eastAsiaTheme="minorHAnsi" w:hAnsi="Verdana"/>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lsdException w:name="heading 6" w:semiHidden="0" w:uiPriority="9" w:unhideWhenUsed="0"/>
    <w:lsdException w:name="heading 7" w:uiPriority="9" w:qFormat="1"/>
    <w:lsdException w:name="heading 8" w:uiPriority="9"/>
    <w:lsdException w:name="heading 9" w:uiPriority="9" w:qFormat="1"/>
    <w:lsdException w:name="toc 1" w:uiPriority="39" w:qFormat="1"/>
    <w:lsdException w:name="toc 2" w:uiPriority="39" w:qFormat="1"/>
    <w:lsdException w:name="toc 3" w:uiPriority="39" w:qFormat="1"/>
    <w:lsdException w:name="toc 9" w:uiPriority="39"/>
    <w:lsdException w:name="header" w:uiPriority="99"/>
    <w:lsdException w:name="footer" w:uiPriority="99"/>
    <w:lsdException w:name="caption" w:uiPriority="35" w:qFormat="1"/>
    <w:lsdException w:name="table of figures"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A361B"/>
    <w:rPr>
      <w:rFonts w:ascii="Calibri" w:hAnsi="Calibri"/>
      <w:lang w:val="en-GB"/>
    </w:rPr>
  </w:style>
  <w:style w:type="paragraph" w:styleId="Heading1">
    <w:name w:val="heading 1"/>
    <w:aliases w:val="h1,Outline1,Main Section,Unnumbered 1,Numbered 1,Unnumbered,Oscar Faber 1,Section,chapter heading,Chapter Hdg,Heading,Chapter Heading2,Ch,Chapter,2.0 Heading,Section Heading,Hoofdstuk,L1,chapter,Numbered - 1,CBC Heading 1,Level 1,H1,H11,H12,2"/>
    <w:basedOn w:val="Heading2"/>
    <w:next w:val="Normal"/>
    <w:link w:val="Heading1Char"/>
    <w:uiPriority w:val="9"/>
    <w:qFormat/>
    <w:rsid w:val="002A0A34"/>
    <w:pPr>
      <w:pageBreakBefore/>
      <w:numPr>
        <w:ilvl w:val="0"/>
      </w:numPr>
      <w:spacing w:after="240"/>
      <w:ind w:left="431" w:hanging="431"/>
      <w:outlineLvl w:val="0"/>
    </w:pPr>
    <w:rPr>
      <w:sz w:val="44"/>
      <w:szCs w:val="44"/>
    </w:rPr>
  </w:style>
  <w:style w:type="paragraph" w:styleId="Heading2">
    <w:name w:val="heading 2"/>
    <w:basedOn w:val="Heading3"/>
    <w:next w:val="Normal"/>
    <w:link w:val="Heading2Char"/>
    <w:uiPriority w:val="9"/>
    <w:unhideWhenUsed/>
    <w:qFormat/>
    <w:rsid w:val="002531E6"/>
    <w:pPr>
      <w:keepNext/>
      <w:numPr>
        <w:ilvl w:val="1"/>
      </w:numPr>
      <w:spacing w:after="200"/>
      <w:ind w:left="1145" w:hanging="578"/>
      <w:outlineLvl w:val="1"/>
    </w:pPr>
    <w:rPr>
      <w:color w:val="4F6228"/>
    </w:rPr>
  </w:style>
  <w:style w:type="paragraph" w:styleId="Heading3">
    <w:name w:val="heading 3"/>
    <w:basedOn w:val="paragraph"/>
    <w:next w:val="Normal"/>
    <w:link w:val="Heading3Char"/>
    <w:uiPriority w:val="9"/>
    <w:unhideWhenUsed/>
    <w:qFormat/>
    <w:rsid w:val="002531E6"/>
    <w:pPr>
      <w:numPr>
        <w:ilvl w:val="2"/>
        <w:numId w:val="8"/>
      </w:numPr>
      <w:spacing w:after="120"/>
      <w:outlineLvl w:val="2"/>
    </w:pPr>
    <w:rPr>
      <w:rFonts w:ascii="Calibri" w:hAnsi="Calibri"/>
      <w:b/>
    </w:rPr>
  </w:style>
  <w:style w:type="paragraph" w:styleId="Heading4">
    <w:name w:val="heading 4"/>
    <w:basedOn w:val="Normal"/>
    <w:next w:val="Normal"/>
    <w:link w:val="Heading4Char"/>
    <w:uiPriority w:val="9"/>
    <w:unhideWhenUsed/>
    <w:rsid w:val="0017501D"/>
    <w:pPr>
      <w:keepNext/>
      <w:keepLines/>
      <w:numPr>
        <w:ilvl w:val="3"/>
        <w:numId w:val="8"/>
      </w:numPr>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rsid w:val="0017501D"/>
    <w:pPr>
      <w:keepNext/>
      <w:keepLines/>
      <w:numPr>
        <w:ilvl w:val="4"/>
        <w:numId w:val="8"/>
      </w:numPr>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rsid w:val="0017501D"/>
    <w:pPr>
      <w:keepNext/>
      <w:keepLines/>
      <w:numPr>
        <w:ilvl w:val="5"/>
        <w:numId w:val="8"/>
      </w:numPr>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aliases w:val="AQA App Head 2"/>
    <w:basedOn w:val="Normal"/>
    <w:next w:val="Normal"/>
    <w:link w:val="Heading7Char"/>
    <w:uiPriority w:val="9"/>
    <w:unhideWhenUsed/>
    <w:qFormat/>
    <w:rsid w:val="0017501D"/>
    <w:pPr>
      <w:keepNext/>
      <w:keepLines/>
      <w:numPr>
        <w:ilvl w:val="6"/>
        <w:numId w:val="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17501D"/>
    <w:pPr>
      <w:keepNext/>
      <w:keepLines/>
      <w:numPr>
        <w:ilvl w:val="7"/>
        <w:numId w:val="8"/>
      </w:numPr>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aliases w:val="Heading No Number"/>
    <w:basedOn w:val="Heading1"/>
    <w:next w:val="Normal"/>
    <w:link w:val="Heading9Char"/>
    <w:uiPriority w:val="9"/>
    <w:unhideWhenUsed/>
    <w:qFormat/>
    <w:rsid w:val="00DC4FD4"/>
    <w:pPr>
      <w:numPr>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link w:val="CaptionChar"/>
    <w:uiPriority w:val="35"/>
    <w:unhideWhenUsed/>
    <w:qFormat/>
    <w:rsid w:val="00E571AB"/>
    <w:pPr>
      <w:spacing w:line="240" w:lineRule="auto"/>
      <w:jc w:val="center"/>
    </w:pPr>
    <w:rPr>
      <w:b/>
      <w:bCs/>
      <w:color w:val="4F6228"/>
      <w:sz w:val="24"/>
      <w:szCs w:val="24"/>
    </w:rPr>
  </w:style>
  <w:style w:type="character" w:styleId="EndnoteReference">
    <w:name w:val="endnote reference"/>
    <w:semiHidden/>
    <w:rsid w:val="0087496E"/>
    <w:rPr>
      <w:strike w:val="0"/>
      <w:dstrike w:val="0"/>
      <w:vertAlign w:val="baseline"/>
    </w:rPr>
  </w:style>
  <w:style w:type="paragraph" w:styleId="EndnoteText">
    <w:name w:val="endnote text"/>
    <w:basedOn w:val="Normal"/>
    <w:link w:val="EndnoteTextChar"/>
    <w:uiPriority w:val="99"/>
    <w:semiHidden/>
    <w:rsid w:val="00AD13DC"/>
  </w:style>
  <w:style w:type="character" w:styleId="FootnoteReference">
    <w:name w:val="footnote reference"/>
    <w:semiHidden/>
    <w:rsid w:val="00EF4D00"/>
    <w:rPr>
      <w:rFonts w:ascii="Times New Roman" w:hAnsi="Times New Roman"/>
      <w:b/>
      <w:i w:val="0"/>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1"/>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uiPriority w:val="99"/>
    <w:rsid w:val="00690691"/>
    <w:pPr>
      <w:spacing w:after="0"/>
    </w:pPr>
  </w:style>
  <w:style w:type="paragraph" w:styleId="TOC1">
    <w:name w:val="toc 1"/>
    <w:basedOn w:val="Normal"/>
    <w:uiPriority w:val="39"/>
    <w:qFormat/>
    <w:rsid w:val="006F7F7F"/>
    <w:pPr>
      <w:tabs>
        <w:tab w:val="left" w:pos="851"/>
        <w:tab w:val="right" w:leader="dot" w:pos="9639"/>
      </w:tabs>
      <w:spacing w:before="200" w:after="0"/>
    </w:pPr>
  </w:style>
  <w:style w:type="paragraph" w:styleId="TOC2">
    <w:name w:val="toc 2"/>
    <w:basedOn w:val="Normal"/>
    <w:uiPriority w:val="39"/>
    <w:qFormat/>
    <w:rsid w:val="00371B78"/>
    <w:pPr>
      <w:tabs>
        <w:tab w:val="left" w:pos="851"/>
        <w:tab w:val="right" w:pos="9639"/>
      </w:tabs>
      <w:spacing w:after="0" w:line="240" w:lineRule="auto"/>
      <w:ind w:left="142"/>
    </w:pPr>
  </w:style>
  <w:style w:type="paragraph" w:styleId="TOC3">
    <w:name w:val="toc 3"/>
    <w:basedOn w:val="Normal"/>
    <w:uiPriority w:val="39"/>
    <w:qFormat/>
    <w:rsid w:val="00371B78"/>
    <w:pPr>
      <w:tabs>
        <w:tab w:val="left" w:pos="851"/>
        <w:tab w:val="right" w:pos="9639"/>
      </w:tabs>
      <w:spacing w:after="0" w:line="240" w:lineRule="auto"/>
      <w:ind w:left="284"/>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Spacing"/>
    <w:next w:val="Normal"/>
    <w:link w:val="SubtitleChar"/>
    <w:uiPriority w:val="11"/>
    <w:rsid w:val="001A79C6"/>
    <w:pPr>
      <w:jc w:val="right"/>
    </w:pPr>
    <w:rPr>
      <w:rFonts w:asciiTheme="majorHAnsi" w:eastAsiaTheme="majorEastAsia" w:hAnsiTheme="majorHAnsi" w:cstheme="majorBidi"/>
      <w:color w:val="FFFFFF" w:themeColor="background1"/>
      <w:sz w:val="72"/>
      <w:szCs w:val="72"/>
    </w:rPr>
  </w:style>
  <w:style w:type="paragraph" w:styleId="Title">
    <w:name w:val="Title"/>
    <w:basedOn w:val="Normal"/>
    <w:next w:val="Normal"/>
    <w:link w:val="TitleChar"/>
    <w:uiPriority w:val="10"/>
    <w:rsid w:val="001A79C6"/>
    <w:pPr>
      <w:jc w:val="center"/>
    </w:pPr>
    <w:rPr>
      <w:color w:val="9B2D1F" w:themeColor="accent2"/>
      <w:sz w:val="72"/>
      <w:szCs w:val="7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2"/>
      </w:numPr>
      <w:spacing w:after="240" w:line="312" w:lineRule="auto"/>
      <w:contextualSpacing/>
    </w:pPr>
  </w:style>
  <w:style w:type="character" w:customStyle="1" w:styleId="NumberedListChar">
    <w:name w:val="Numbered List Char"/>
    <w:basedOn w:val="DefaultParagraphFont"/>
    <w:link w:val="NumberedList"/>
    <w:rsid w:val="00697ACE"/>
    <w:rPr>
      <w:rFonts w:ascii="Calibri" w:hAnsi="Calibri"/>
      <w:lang w:val="en-GB"/>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Calibri" w:hAnsi="Calibri"/>
      <w:b/>
      <w:bCs/>
      <w:lang w:val="en-GB"/>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aliases w:val="h1 Char,Outline1 Char,Main Section Char,Unnumbered 1 Char,Numbered 1 Char,Unnumbered Char,Oscar Faber 1 Char,Section Char,chapter heading Char,Chapter Hdg Char,Heading Char,Chapter Heading2 Char,Ch Char,Chapter Char,2.0 Heading Char"/>
    <w:basedOn w:val="DefaultParagraphFont"/>
    <w:link w:val="Heading1"/>
    <w:uiPriority w:val="9"/>
    <w:rsid w:val="002A0A34"/>
    <w:rPr>
      <w:rFonts w:ascii="Calibri" w:eastAsia="Times New Roman" w:hAnsi="Calibri" w:cs="Times New Roman"/>
      <w:b/>
      <w:color w:val="4F6228"/>
      <w:sz w:val="44"/>
      <w:szCs w:val="44"/>
      <w:lang w:val="en-GB" w:eastAsia="en-GB"/>
    </w:rPr>
  </w:style>
  <w:style w:type="character" w:customStyle="1" w:styleId="Heading2Char">
    <w:name w:val="Heading 2 Char"/>
    <w:basedOn w:val="DefaultParagraphFont"/>
    <w:link w:val="Heading2"/>
    <w:uiPriority w:val="9"/>
    <w:rsid w:val="002531E6"/>
    <w:rPr>
      <w:rFonts w:ascii="Calibri" w:eastAsia="Times New Roman" w:hAnsi="Calibri" w:cs="Times New Roman"/>
      <w:b/>
      <w:color w:val="4F6228"/>
      <w:sz w:val="24"/>
      <w:szCs w:val="24"/>
      <w:lang w:val="en-GB" w:eastAsia="en-GB"/>
    </w:rPr>
  </w:style>
  <w:style w:type="character" w:customStyle="1" w:styleId="Heading3Char">
    <w:name w:val="Heading 3 Char"/>
    <w:basedOn w:val="DefaultParagraphFont"/>
    <w:link w:val="Heading3"/>
    <w:uiPriority w:val="9"/>
    <w:rsid w:val="002531E6"/>
    <w:rPr>
      <w:rFonts w:ascii="Calibri" w:eastAsia="Times New Roman" w:hAnsi="Calibri" w:cs="Times New Roman"/>
      <w:b/>
      <w:sz w:val="24"/>
      <w:szCs w:val="24"/>
      <w:lang w:val="en-GB" w:eastAsia="en-GB"/>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lang w:val="en-GB"/>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lang w:val="en-GB"/>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lang w:val="en-GB"/>
    </w:rPr>
  </w:style>
  <w:style w:type="character" w:customStyle="1" w:styleId="Heading7Char">
    <w:name w:val="Heading 7 Char"/>
    <w:aliases w:val="AQA App Head 2 Char"/>
    <w:basedOn w:val="DefaultParagraphFont"/>
    <w:link w:val="Heading7"/>
    <w:uiPriority w:val="9"/>
    <w:rsid w:val="0017501D"/>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lang w:val="en-GB"/>
    </w:rPr>
  </w:style>
  <w:style w:type="character" w:customStyle="1" w:styleId="Heading9Char">
    <w:name w:val="Heading 9 Char"/>
    <w:aliases w:val="Heading No Number Char"/>
    <w:basedOn w:val="DefaultParagraphFont"/>
    <w:link w:val="Heading9"/>
    <w:uiPriority w:val="9"/>
    <w:rsid w:val="00DC4FD4"/>
    <w:rPr>
      <w:rFonts w:ascii="GE Inspira" w:eastAsia="Times New Roman" w:hAnsi="GE Inspira" w:cs="Times New Roman"/>
      <w:b/>
      <w:color w:val="4F6228"/>
      <w:sz w:val="44"/>
      <w:szCs w:val="44"/>
      <w:lang w:val="en-GB" w:eastAsia="en-GB"/>
    </w:rPr>
  </w:style>
  <w:style w:type="character" w:customStyle="1" w:styleId="TitleChar">
    <w:name w:val="Title Char"/>
    <w:basedOn w:val="DefaultParagraphFont"/>
    <w:link w:val="Title"/>
    <w:uiPriority w:val="10"/>
    <w:rsid w:val="001A79C6"/>
    <w:rPr>
      <w:color w:val="9B2D1F" w:themeColor="accent2"/>
      <w:sz w:val="72"/>
      <w:szCs w:val="72"/>
      <w:lang w:val="en-GB"/>
    </w:rPr>
  </w:style>
  <w:style w:type="character" w:customStyle="1" w:styleId="SubtitleChar">
    <w:name w:val="Subtitle Char"/>
    <w:basedOn w:val="DefaultParagraphFont"/>
    <w:link w:val="Subtitle"/>
    <w:uiPriority w:val="11"/>
    <w:rsid w:val="001A79C6"/>
    <w:rPr>
      <w:rFonts w:asciiTheme="majorHAnsi" w:eastAsiaTheme="majorEastAsia" w:hAnsiTheme="majorHAnsi" w:cstheme="majorBidi"/>
      <w:color w:val="FFFFFF" w:themeColor="background1"/>
      <w:sz w:val="72"/>
      <w:szCs w:val="72"/>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link w:val="ListParagraphChar"/>
    <w:uiPriority w:val="34"/>
    <w:qFormat/>
    <w:rsid w:val="0017501D"/>
    <w:pPr>
      <w:numPr>
        <w:numId w:val="5"/>
      </w:numPr>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rsid w:val="0017501D"/>
    <w:rPr>
      <w:smallCaps/>
      <w:color w:val="9B2D1F" w:themeColor="accent2"/>
      <w:u w:val="single"/>
    </w:rPr>
  </w:style>
  <w:style w:type="character" w:styleId="IntenseReference">
    <w:name w:val="Intense Reference"/>
    <w:basedOn w:val="DefaultParagraphFont"/>
    <w:uiPriority w:val="32"/>
    <w:rsid w:val="0017501D"/>
    <w:rPr>
      <w:b/>
      <w:bCs/>
      <w:smallCaps/>
      <w:color w:val="9B2D1F" w:themeColor="accent2"/>
      <w:spacing w:val="5"/>
      <w:u w:val="single"/>
    </w:rPr>
  </w:style>
  <w:style w:type="character" w:styleId="BookTitle">
    <w:name w:val="Book Title"/>
    <w:basedOn w:val="DefaultParagraphFont"/>
    <w:uiPriority w:val="33"/>
    <w:rsid w:val="0017501D"/>
    <w:rPr>
      <w:b/>
      <w:bCs/>
      <w:smallCaps/>
      <w:spacing w:val="5"/>
    </w:rPr>
  </w:style>
  <w:style w:type="paragraph" w:styleId="TOCHeading">
    <w:name w:val="TOC Heading"/>
    <w:basedOn w:val="Heading1"/>
    <w:next w:val="Normal"/>
    <w:uiPriority w:val="39"/>
    <w:unhideWhenUsed/>
    <w:qFormat/>
    <w:rsid w:val="00934891"/>
    <w:pPr>
      <w:pageBreakBefore w:val="0"/>
      <w:numPr>
        <w:numId w:val="0"/>
      </w:num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character" w:styleId="PlaceholderText">
    <w:name w:val="Placeholder Text"/>
    <w:basedOn w:val="DefaultParagraphFont"/>
    <w:uiPriority w:val="99"/>
    <w:semiHidden/>
    <w:rsid w:val="001A79C6"/>
    <w:rPr>
      <w:color w:val="808080"/>
    </w:rPr>
  </w:style>
  <w:style w:type="paragraph" w:customStyle="1" w:styleId="AppendixTitle">
    <w:name w:val="Appendix Title"/>
    <w:basedOn w:val="ListParagraph"/>
    <w:next w:val="Normal"/>
    <w:link w:val="AppendixTitleChar"/>
    <w:rsid w:val="00F22B8A"/>
    <w:pPr>
      <w:numPr>
        <w:numId w:val="0"/>
      </w:numPr>
      <w:ind w:left="2835" w:hanging="2835"/>
    </w:pPr>
    <w:rPr>
      <w:color w:val="4F6228"/>
      <w:sz w:val="44"/>
      <w:szCs w:val="44"/>
    </w:rPr>
  </w:style>
  <w:style w:type="numbering" w:customStyle="1" w:styleId="Appendices">
    <w:name w:val="Appendices"/>
    <w:uiPriority w:val="99"/>
    <w:rsid w:val="00D47C89"/>
    <w:pPr>
      <w:numPr>
        <w:numId w:val="3"/>
      </w:numPr>
    </w:pPr>
  </w:style>
  <w:style w:type="character" w:customStyle="1" w:styleId="AppendixTitleChar">
    <w:name w:val="Appendix Title Char"/>
    <w:basedOn w:val="DefaultParagraphFont"/>
    <w:link w:val="AppendixTitle"/>
    <w:rsid w:val="00F22B8A"/>
    <w:rPr>
      <w:color w:val="4F6228"/>
      <w:sz w:val="44"/>
      <w:szCs w:val="44"/>
      <w:lang w:val="en-GB"/>
    </w:rPr>
  </w:style>
  <w:style w:type="paragraph" w:customStyle="1" w:styleId="AppTitle">
    <w:name w:val="App.Title"/>
    <w:basedOn w:val="ListParagraph"/>
    <w:next w:val="Normal"/>
    <w:link w:val="AppTitleChar"/>
    <w:qFormat/>
    <w:rsid w:val="003F5F6A"/>
    <w:pPr>
      <w:pageBreakBefore/>
      <w:numPr>
        <w:numId w:val="9"/>
      </w:numPr>
    </w:pPr>
    <w:rPr>
      <w:rFonts w:eastAsia="Arial"/>
      <w:b/>
      <w:color w:val="4F6228"/>
      <w:sz w:val="44"/>
      <w:szCs w:val="44"/>
    </w:rPr>
  </w:style>
  <w:style w:type="paragraph" w:customStyle="1" w:styleId="Apphead1">
    <w:name w:val="App.head1"/>
    <w:basedOn w:val="ListParagraph"/>
    <w:next w:val="Normal"/>
    <w:link w:val="Apphead1Char"/>
    <w:qFormat/>
    <w:rsid w:val="00730050"/>
    <w:pPr>
      <w:keepNext/>
      <w:numPr>
        <w:ilvl w:val="1"/>
        <w:numId w:val="9"/>
      </w:numPr>
      <w:ind w:left="720"/>
    </w:pPr>
    <w:rPr>
      <w:rFonts w:eastAsia="Arial"/>
      <w:b/>
      <w:color w:val="4F6228"/>
      <w:sz w:val="26"/>
      <w:szCs w:val="26"/>
    </w:rPr>
  </w:style>
  <w:style w:type="character" w:customStyle="1" w:styleId="ListParagraphChar">
    <w:name w:val="List Paragraph Char"/>
    <w:basedOn w:val="DefaultParagraphFont"/>
    <w:link w:val="ListParagraph"/>
    <w:uiPriority w:val="34"/>
    <w:rsid w:val="00D13545"/>
    <w:rPr>
      <w:rFonts w:ascii="Calibri" w:hAnsi="Calibri"/>
      <w:lang w:val="en-GB"/>
    </w:rPr>
  </w:style>
  <w:style w:type="character" w:customStyle="1" w:styleId="AppTitleChar">
    <w:name w:val="App.Title Char"/>
    <w:basedOn w:val="ListParagraphChar"/>
    <w:link w:val="AppTitle"/>
    <w:rsid w:val="003F5F6A"/>
    <w:rPr>
      <w:rFonts w:ascii="Calibri" w:eastAsia="Arial" w:hAnsi="Calibri"/>
      <w:b/>
      <w:color w:val="4F6228"/>
      <w:sz w:val="44"/>
      <w:szCs w:val="44"/>
      <w:lang w:val="en-GB"/>
    </w:rPr>
  </w:style>
  <w:style w:type="character" w:customStyle="1" w:styleId="Apphead1Char">
    <w:name w:val="App.head1 Char"/>
    <w:basedOn w:val="AppTitleChar"/>
    <w:link w:val="Apphead1"/>
    <w:rsid w:val="00730050"/>
    <w:rPr>
      <w:rFonts w:ascii="Calibri" w:eastAsia="Arial" w:hAnsi="Calibri"/>
      <w:b/>
      <w:color w:val="4F6228"/>
      <w:sz w:val="26"/>
      <w:szCs w:val="26"/>
      <w:lang w:val="en-GB"/>
    </w:rPr>
  </w:style>
  <w:style w:type="table" w:styleId="TableGrid">
    <w:name w:val="Table Grid"/>
    <w:basedOn w:val="TableNormal"/>
    <w:uiPriority w:val="59"/>
    <w:rsid w:val="00496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
    <w:name w:val="TableHeadings"/>
    <w:basedOn w:val="Caption"/>
    <w:link w:val="TableHeadingsChar"/>
    <w:qFormat/>
    <w:rsid w:val="0049621C"/>
    <w:pPr>
      <w:spacing w:before="120" w:after="120"/>
    </w:pPr>
    <w:rPr>
      <w:u w:color="000000"/>
    </w:rPr>
  </w:style>
  <w:style w:type="character" w:customStyle="1" w:styleId="TableHeadingsChar">
    <w:name w:val="TableHeadings Char"/>
    <w:basedOn w:val="DefaultParagraphFont"/>
    <w:link w:val="TableHeadings"/>
    <w:rsid w:val="0049621C"/>
    <w:rPr>
      <w:rFonts w:ascii="Gill Sans MT" w:hAnsi="Gill Sans MT"/>
      <w:b/>
      <w:bCs/>
      <w:color w:val="4F6228"/>
      <w:sz w:val="24"/>
      <w:szCs w:val="24"/>
      <w:u w:color="000000"/>
      <w:lang w:val="en-GB"/>
    </w:rPr>
  </w:style>
  <w:style w:type="paragraph" w:customStyle="1" w:styleId="TableParagraph">
    <w:name w:val="Table Paragraph"/>
    <w:basedOn w:val="Normal"/>
    <w:uiPriority w:val="1"/>
    <w:qFormat/>
    <w:rsid w:val="0049621C"/>
    <w:pPr>
      <w:widowControl w:val="0"/>
      <w:spacing w:after="0" w:line="240" w:lineRule="auto"/>
    </w:pPr>
    <w:rPr>
      <w:rFonts w:eastAsiaTheme="minorHAnsi"/>
      <w:lang w:val="en-US"/>
    </w:rPr>
  </w:style>
  <w:style w:type="paragraph" w:styleId="NormalWeb">
    <w:name w:val="Normal (Web)"/>
    <w:basedOn w:val="Normal"/>
    <w:uiPriority w:val="99"/>
    <w:unhideWhenUsed/>
    <w:rsid w:val="00A2755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rsid w:val="0021216D"/>
    <w:rPr>
      <w:color w:val="96A9A9" w:themeColor="followedHyperlink"/>
      <w:u w:val="single"/>
    </w:rPr>
  </w:style>
  <w:style w:type="paragraph" w:customStyle="1" w:styleId="paragraph">
    <w:name w:val="paragraph"/>
    <w:basedOn w:val="Normal"/>
    <w:rsid w:val="00060106"/>
    <w:pPr>
      <w:spacing w:after="0"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060106"/>
  </w:style>
  <w:style w:type="character" w:customStyle="1" w:styleId="normaltextrun">
    <w:name w:val="normaltextrun"/>
    <w:basedOn w:val="DefaultParagraphFont"/>
    <w:rsid w:val="00060106"/>
  </w:style>
  <w:style w:type="character" w:customStyle="1" w:styleId="eop">
    <w:name w:val="eop"/>
    <w:basedOn w:val="DefaultParagraphFont"/>
    <w:rsid w:val="00060106"/>
  </w:style>
  <w:style w:type="character" w:customStyle="1" w:styleId="EndnoteTextChar">
    <w:name w:val="Endnote Text Char"/>
    <w:link w:val="EndnoteText"/>
    <w:uiPriority w:val="99"/>
    <w:semiHidden/>
    <w:rsid w:val="0048619A"/>
    <w:rPr>
      <w:rFonts w:ascii="Gill Sans MT" w:hAnsi="Gill Sans MT"/>
      <w:lang w:val="en-GB"/>
    </w:rPr>
  </w:style>
  <w:style w:type="paragraph" w:customStyle="1" w:styleId="ListNumber">
    <w:name w:val="ListNumber"/>
    <w:basedOn w:val="Normal"/>
    <w:rsid w:val="008A4777"/>
    <w:pPr>
      <w:numPr>
        <w:numId w:val="6"/>
      </w:numPr>
    </w:pPr>
  </w:style>
  <w:style w:type="paragraph" w:styleId="TOC9">
    <w:name w:val="toc 9"/>
    <w:basedOn w:val="Normal"/>
    <w:next w:val="Normal"/>
    <w:autoRedefine/>
    <w:uiPriority w:val="39"/>
    <w:unhideWhenUsed/>
    <w:rsid w:val="00326931"/>
    <w:pPr>
      <w:tabs>
        <w:tab w:val="right" w:leader="dot" w:pos="9737"/>
      </w:tabs>
      <w:spacing w:after="100"/>
    </w:pPr>
    <w:rPr>
      <w:b/>
      <w:noProof/>
    </w:rPr>
  </w:style>
  <w:style w:type="paragraph" w:customStyle="1" w:styleId="FigureCaption">
    <w:name w:val="Figure Caption"/>
    <w:basedOn w:val="Normal"/>
    <w:next w:val="Normal"/>
    <w:link w:val="FigureCaptionChar"/>
    <w:rsid w:val="001F0793"/>
    <w:pPr>
      <w:numPr>
        <w:numId w:val="7"/>
      </w:numPr>
    </w:pPr>
    <w:rPr>
      <w:b/>
      <w:color w:val="4F6228"/>
      <w:sz w:val="26"/>
    </w:rPr>
  </w:style>
  <w:style w:type="character" w:customStyle="1" w:styleId="CaptionChar">
    <w:name w:val="Caption Char"/>
    <w:basedOn w:val="DefaultParagraphFont"/>
    <w:link w:val="Caption"/>
    <w:uiPriority w:val="35"/>
    <w:rsid w:val="00E571AB"/>
    <w:rPr>
      <w:rFonts w:ascii="Calibri" w:hAnsi="Calibri"/>
      <w:b/>
      <w:bCs/>
      <w:color w:val="4F6228"/>
      <w:sz w:val="24"/>
      <w:szCs w:val="24"/>
      <w:lang w:val="en-GB"/>
    </w:rPr>
  </w:style>
  <w:style w:type="character" w:customStyle="1" w:styleId="FigureCaptionChar">
    <w:name w:val="Figure Caption Char"/>
    <w:basedOn w:val="CaptionChar"/>
    <w:link w:val="FigureCaption"/>
    <w:rsid w:val="001F0793"/>
    <w:rPr>
      <w:rFonts w:ascii="Calibri" w:hAnsi="Calibri"/>
      <w:b/>
      <w:bCs w:val="0"/>
      <w:color w:val="4F6228"/>
      <w:sz w:val="26"/>
      <w:szCs w:val="24"/>
      <w:lang w:val="en-GB"/>
    </w:rPr>
  </w:style>
  <w:style w:type="paragraph" w:customStyle="1" w:styleId="AppHead2">
    <w:name w:val="App.Head2"/>
    <w:basedOn w:val="ListParagraph"/>
    <w:qFormat/>
    <w:rsid w:val="003F5F6A"/>
    <w:pPr>
      <w:numPr>
        <w:ilvl w:val="2"/>
        <w:numId w:val="9"/>
      </w:numPr>
      <w:ind w:left="720"/>
    </w:pPr>
    <w:rPr>
      <w:rFonts w:eastAsia="Arial"/>
      <w:b/>
      <w:sz w:val="24"/>
      <w:szCs w:val="24"/>
    </w:rPr>
  </w:style>
  <w:style w:type="paragraph" w:customStyle="1" w:styleId="BulletPoint">
    <w:name w:val="BulletPoint"/>
    <w:basedOn w:val="ListParagraph"/>
    <w:link w:val="BulletPointChar"/>
    <w:qFormat/>
    <w:rsid w:val="00005466"/>
    <w:pPr>
      <w:numPr>
        <w:numId w:val="4"/>
      </w:numPr>
    </w:pPr>
  </w:style>
  <w:style w:type="character" w:customStyle="1" w:styleId="BulletPointChar">
    <w:name w:val="BulletPoint Char"/>
    <w:basedOn w:val="ListParagraphChar"/>
    <w:link w:val="BulletPoint"/>
    <w:rsid w:val="00005466"/>
    <w:rPr>
      <w:rFonts w:ascii="Calibri" w:hAnsi="Calibri"/>
      <w:lang w:val="en-GB"/>
    </w:rPr>
  </w:style>
  <w:style w:type="paragraph" w:customStyle="1" w:styleId="Body">
    <w:name w:val="Body"/>
    <w:rsid w:val="00A04D3A"/>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en-GB"/>
    </w:rPr>
  </w:style>
  <w:style w:type="numbering" w:customStyle="1" w:styleId="Lettered">
    <w:name w:val="Lettered"/>
    <w:rsid w:val="002E14DB"/>
    <w:pPr>
      <w:numPr>
        <w:numId w:val="10"/>
      </w:numPr>
    </w:pPr>
  </w:style>
  <w:style w:type="numbering" w:customStyle="1" w:styleId="Numbered">
    <w:name w:val="Numbered"/>
    <w:rsid w:val="002E14DB"/>
    <w:pPr>
      <w:numPr>
        <w:numId w:val="11"/>
      </w:numPr>
    </w:pPr>
  </w:style>
  <w:style w:type="paragraph" w:customStyle="1" w:styleId="defaultfont">
    <w:name w:val="defaultfont"/>
    <w:basedOn w:val="Normal"/>
    <w:rsid w:val="00AB6248"/>
    <w:pPr>
      <w:spacing w:before="100" w:beforeAutospacing="1" w:after="100" w:afterAutospacing="1" w:line="240" w:lineRule="auto"/>
    </w:pPr>
    <w:rPr>
      <w:rFonts w:ascii="Times New Roman" w:eastAsiaTheme="minorHAnsi" w:hAnsi="Times New Roman" w:cs="Times New Roman"/>
      <w:sz w:val="24"/>
      <w:szCs w:val="24"/>
      <w:lang w:eastAsia="en-GB"/>
    </w:rPr>
  </w:style>
  <w:style w:type="numbering" w:customStyle="1" w:styleId="Bullet">
    <w:name w:val="Bullet"/>
    <w:rsid w:val="00507CF7"/>
    <w:pPr>
      <w:numPr>
        <w:numId w:val="12"/>
      </w:numPr>
    </w:pPr>
  </w:style>
  <w:style w:type="paragraph" w:customStyle="1" w:styleId="BodyA">
    <w:name w:val="Body A"/>
    <w:rsid w:val="00587BE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eastAsia="en-GB"/>
    </w:rPr>
  </w:style>
  <w:style w:type="paragraph" w:customStyle="1" w:styleId="SectionTitle">
    <w:name w:val="SectionTitle"/>
    <w:basedOn w:val="Normal"/>
    <w:next w:val="Normal"/>
    <w:link w:val="SectionTitleChar"/>
    <w:qFormat/>
    <w:rsid w:val="001E0972"/>
    <w:rPr>
      <w:b/>
      <w:color w:val="4F6228"/>
      <w:sz w:val="44"/>
      <w:szCs w:val="44"/>
    </w:rPr>
  </w:style>
  <w:style w:type="character" w:customStyle="1" w:styleId="SectionTitleChar">
    <w:name w:val="SectionTitle Char"/>
    <w:basedOn w:val="Heading9Char"/>
    <w:link w:val="SectionTitle"/>
    <w:rsid w:val="001E0972"/>
    <w:rPr>
      <w:rFonts w:ascii="Calibri" w:eastAsia="Times New Roman" w:hAnsi="Calibri" w:cs="Times New Roman"/>
      <w:b/>
      <w:color w:val="4F6228"/>
      <w:sz w:val="44"/>
      <w:szCs w:val="44"/>
      <w:lang w:val="en-GB" w:eastAsia="en-GB"/>
    </w:rPr>
  </w:style>
  <w:style w:type="numbering" w:customStyle="1" w:styleId="Lettered1">
    <w:name w:val="Lettered1"/>
    <w:rsid w:val="00A733F1"/>
  </w:style>
  <w:style w:type="numbering" w:customStyle="1" w:styleId="Numbered1">
    <w:name w:val="Numbered1"/>
    <w:rsid w:val="00A733F1"/>
  </w:style>
  <w:style w:type="numbering" w:customStyle="1" w:styleId="Lettered2">
    <w:name w:val="Lettered2"/>
    <w:rsid w:val="005F72E6"/>
  </w:style>
  <w:style w:type="numbering" w:customStyle="1" w:styleId="Numbered2">
    <w:name w:val="Numbered2"/>
    <w:rsid w:val="005F72E6"/>
  </w:style>
  <w:style w:type="paragraph" w:customStyle="1" w:styleId="Default">
    <w:name w:val="Default"/>
    <w:rsid w:val="001014F4"/>
    <w:pPr>
      <w:autoSpaceDE w:val="0"/>
      <w:autoSpaceDN w:val="0"/>
      <w:adjustRightInd w:val="0"/>
      <w:spacing w:after="0" w:line="240" w:lineRule="auto"/>
    </w:pPr>
    <w:rPr>
      <w:rFonts w:ascii="Calibri" w:hAnsi="Calibri" w:cs="Calibri"/>
      <w:color w:val="000000"/>
      <w:sz w:val="24"/>
      <w:szCs w:val="24"/>
      <w:lang w:val="en-GB"/>
    </w:rPr>
  </w:style>
  <w:style w:type="paragraph" w:customStyle="1" w:styleId="Objective">
    <w:name w:val="Objective"/>
    <w:basedOn w:val="BulletPoint"/>
    <w:link w:val="ObjectiveChar"/>
    <w:qFormat/>
    <w:rsid w:val="00A62ABA"/>
    <w:pPr>
      <w:numPr>
        <w:numId w:val="0"/>
      </w:numPr>
      <w:tabs>
        <w:tab w:val="left" w:pos="567"/>
      </w:tabs>
      <w:ind w:left="993" w:hanging="823"/>
    </w:pPr>
  </w:style>
  <w:style w:type="character" w:customStyle="1" w:styleId="ObjectiveChar">
    <w:name w:val="Objective Char"/>
    <w:basedOn w:val="BulletPointChar"/>
    <w:link w:val="Objective"/>
    <w:rsid w:val="00A62ABA"/>
    <w:rPr>
      <w:rFonts w:ascii="Calibri" w:hAnsi="Calibri"/>
      <w:lang w:val="en-GB"/>
    </w:rPr>
  </w:style>
  <w:style w:type="numbering" w:customStyle="1" w:styleId="Lettered3">
    <w:name w:val="Lettered3"/>
    <w:rsid w:val="00B14208"/>
    <w:pPr>
      <w:numPr>
        <w:numId w:val="13"/>
      </w:numPr>
    </w:pPr>
  </w:style>
  <w:style w:type="paragraph" w:customStyle="1" w:styleId="luctext">
    <w:name w:val="luctext"/>
    <w:basedOn w:val="Normal"/>
    <w:qFormat/>
    <w:rsid w:val="00201C7B"/>
    <w:pPr>
      <w:spacing w:before="120" w:after="120" w:line="240" w:lineRule="atLeast"/>
      <w:ind w:left="680" w:hanging="680"/>
    </w:pPr>
    <w:rPr>
      <w:rFonts w:ascii="Verdana" w:eastAsiaTheme="minorHAnsi" w:hAnsi="Verdan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91016">
      <w:bodyDiv w:val="1"/>
      <w:marLeft w:val="0"/>
      <w:marRight w:val="0"/>
      <w:marTop w:val="0"/>
      <w:marBottom w:val="0"/>
      <w:divBdr>
        <w:top w:val="none" w:sz="0" w:space="0" w:color="auto"/>
        <w:left w:val="none" w:sz="0" w:space="0" w:color="auto"/>
        <w:bottom w:val="none" w:sz="0" w:space="0" w:color="auto"/>
        <w:right w:val="none" w:sz="0" w:space="0" w:color="auto"/>
      </w:divBdr>
    </w:div>
    <w:div w:id="167793278">
      <w:bodyDiv w:val="1"/>
      <w:marLeft w:val="0"/>
      <w:marRight w:val="0"/>
      <w:marTop w:val="0"/>
      <w:marBottom w:val="0"/>
      <w:divBdr>
        <w:top w:val="none" w:sz="0" w:space="0" w:color="auto"/>
        <w:left w:val="none" w:sz="0" w:space="0" w:color="auto"/>
        <w:bottom w:val="none" w:sz="0" w:space="0" w:color="auto"/>
        <w:right w:val="none" w:sz="0" w:space="0" w:color="auto"/>
      </w:divBdr>
      <w:divsChild>
        <w:div w:id="5393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946826">
              <w:marLeft w:val="0"/>
              <w:marRight w:val="0"/>
              <w:marTop w:val="0"/>
              <w:marBottom w:val="0"/>
              <w:divBdr>
                <w:top w:val="none" w:sz="0" w:space="0" w:color="auto"/>
                <w:left w:val="none" w:sz="0" w:space="0" w:color="auto"/>
                <w:bottom w:val="none" w:sz="0" w:space="0" w:color="auto"/>
                <w:right w:val="none" w:sz="0" w:space="0" w:color="auto"/>
              </w:divBdr>
              <w:divsChild>
                <w:div w:id="32849832">
                  <w:marLeft w:val="0"/>
                  <w:marRight w:val="0"/>
                  <w:marTop w:val="0"/>
                  <w:marBottom w:val="0"/>
                  <w:divBdr>
                    <w:top w:val="none" w:sz="0" w:space="0" w:color="auto"/>
                    <w:left w:val="none" w:sz="0" w:space="0" w:color="auto"/>
                    <w:bottom w:val="none" w:sz="0" w:space="0" w:color="auto"/>
                    <w:right w:val="none" w:sz="0" w:space="0" w:color="auto"/>
                  </w:divBdr>
                </w:div>
                <w:div w:id="52626388">
                  <w:marLeft w:val="0"/>
                  <w:marRight w:val="0"/>
                  <w:marTop w:val="0"/>
                  <w:marBottom w:val="0"/>
                  <w:divBdr>
                    <w:top w:val="none" w:sz="0" w:space="0" w:color="auto"/>
                    <w:left w:val="none" w:sz="0" w:space="0" w:color="auto"/>
                    <w:bottom w:val="none" w:sz="0" w:space="0" w:color="auto"/>
                    <w:right w:val="none" w:sz="0" w:space="0" w:color="auto"/>
                  </w:divBdr>
                </w:div>
                <w:div w:id="537015101">
                  <w:marLeft w:val="0"/>
                  <w:marRight w:val="0"/>
                  <w:marTop w:val="0"/>
                  <w:marBottom w:val="0"/>
                  <w:divBdr>
                    <w:top w:val="none" w:sz="0" w:space="0" w:color="auto"/>
                    <w:left w:val="none" w:sz="0" w:space="0" w:color="auto"/>
                    <w:bottom w:val="none" w:sz="0" w:space="0" w:color="auto"/>
                    <w:right w:val="none" w:sz="0" w:space="0" w:color="auto"/>
                  </w:divBdr>
                </w:div>
                <w:div w:id="845825939">
                  <w:marLeft w:val="0"/>
                  <w:marRight w:val="0"/>
                  <w:marTop w:val="0"/>
                  <w:marBottom w:val="0"/>
                  <w:divBdr>
                    <w:top w:val="none" w:sz="0" w:space="0" w:color="auto"/>
                    <w:left w:val="none" w:sz="0" w:space="0" w:color="auto"/>
                    <w:bottom w:val="none" w:sz="0" w:space="0" w:color="auto"/>
                    <w:right w:val="none" w:sz="0" w:space="0" w:color="auto"/>
                  </w:divBdr>
                </w:div>
                <w:div w:id="1409958263">
                  <w:marLeft w:val="0"/>
                  <w:marRight w:val="0"/>
                  <w:marTop w:val="0"/>
                  <w:marBottom w:val="0"/>
                  <w:divBdr>
                    <w:top w:val="none" w:sz="0" w:space="0" w:color="auto"/>
                    <w:left w:val="none" w:sz="0" w:space="0" w:color="auto"/>
                    <w:bottom w:val="none" w:sz="0" w:space="0" w:color="auto"/>
                    <w:right w:val="none" w:sz="0" w:space="0" w:color="auto"/>
                  </w:divBdr>
                </w:div>
                <w:div w:id="1502545426">
                  <w:marLeft w:val="0"/>
                  <w:marRight w:val="0"/>
                  <w:marTop w:val="0"/>
                  <w:marBottom w:val="0"/>
                  <w:divBdr>
                    <w:top w:val="none" w:sz="0" w:space="0" w:color="auto"/>
                    <w:left w:val="none" w:sz="0" w:space="0" w:color="auto"/>
                    <w:bottom w:val="none" w:sz="0" w:space="0" w:color="auto"/>
                    <w:right w:val="none" w:sz="0" w:space="0" w:color="auto"/>
                  </w:divBdr>
                  <w:divsChild>
                    <w:div w:id="1280407132">
                      <w:marLeft w:val="0"/>
                      <w:marRight w:val="0"/>
                      <w:marTop w:val="0"/>
                      <w:marBottom w:val="0"/>
                      <w:divBdr>
                        <w:top w:val="none" w:sz="0" w:space="0" w:color="auto"/>
                        <w:left w:val="none" w:sz="0" w:space="0" w:color="auto"/>
                        <w:bottom w:val="none" w:sz="0" w:space="0" w:color="auto"/>
                        <w:right w:val="none" w:sz="0" w:space="0" w:color="auto"/>
                      </w:divBdr>
                    </w:div>
                  </w:divsChild>
                </w:div>
                <w:div w:id="1506901496">
                  <w:marLeft w:val="0"/>
                  <w:marRight w:val="0"/>
                  <w:marTop w:val="0"/>
                  <w:marBottom w:val="0"/>
                  <w:divBdr>
                    <w:top w:val="none" w:sz="0" w:space="0" w:color="auto"/>
                    <w:left w:val="none" w:sz="0" w:space="0" w:color="auto"/>
                    <w:bottom w:val="none" w:sz="0" w:space="0" w:color="auto"/>
                    <w:right w:val="none" w:sz="0" w:space="0" w:color="auto"/>
                  </w:divBdr>
                </w:div>
                <w:div w:id="1732920531">
                  <w:marLeft w:val="0"/>
                  <w:marRight w:val="0"/>
                  <w:marTop w:val="0"/>
                  <w:marBottom w:val="0"/>
                  <w:divBdr>
                    <w:top w:val="none" w:sz="0" w:space="0" w:color="auto"/>
                    <w:left w:val="none" w:sz="0" w:space="0" w:color="auto"/>
                    <w:bottom w:val="none" w:sz="0" w:space="0" w:color="auto"/>
                    <w:right w:val="none" w:sz="0" w:space="0" w:color="auto"/>
                  </w:divBdr>
                </w:div>
                <w:div w:id="178915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11048">
      <w:bodyDiv w:val="1"/>
      <w:marLeft w:val="0"/>
      <w:marRight w:val="0"/>
      <w:marTop w:val="0"/>
      <w:marBottom w:val="0"/>
      <w:divBdr>
        <w:top w:val="none" w:sz="0" w:space="0" w:color="auto"/>
        <w:left w:val="none" w:sz="0" w:space="0" w:color="auto"/>
        <w:bottom w:val="none" w:sz="0" w:space="0" w:color="auto"/>
        <w:right w:val="none" w:sz="0" w:space="0" w:color="auto"/>
      </w:divBdr>
    </w:div>
    <w:div w:id="297609771">
      <w:bodyDiv w:val="1"/>
      <w:marLeft w:val="0"/>
      <w:marRight w:val="0"/>
      <w:marTop w:val="0"/>
      <w:marBottom w:val="0"/>
      <w:divBdr>
        <w:top w:val="none" w:sz="0" w:space="0" w:color="auto"/>
        <w:left w:val="none" w:sz="0" w:space="0" w:color="auto"/>
        <w:bottom w:val="none" w:sz="0" w:space="0" w:color="auto"/>
        <w:right w:val="none" w:sz="0" w:space="0" w:color="auto"/>
      </w:divBdr>
      <w:divsChild>
        <w:div w:id="545679879">
          <w:marLeft w:val="0"/>
          <w:marRight w:val="0"/>
          <w:marTop w:val="0"/>
          <w:marBottom w:val="0"/>
          <w:divBdr>
            <w:top w:val="none" w:sz="0" w:space="0" w:color="auto"/>
            <w:left w:val="none" w:sz="0" w:space="0" w:color="auto"/>
            <w:bottom w:val="none" w:sz="0" w:space="0" w:color="auto"/>
            <w:right w:val="none" w:sz="0" w:space="0" w:color="auto"/>
          </w:divBdr>
        </w:div>
        <w:div w:id="839393683">
          <w:marLeft w:val="0"/>
          <w:marRight w:val="0"/>
          <w:marTop w:val="0"/>
          <w:marBottom w:val="0"/>
          <w:divBdr>
            <w:top w:val="none" w:sz="0" w:space="0" w:color="auto"/>
            <w:left w:val="none" w:sz="0" w:space="0" w:color="auto"/>
            <w:bottom w:val="none" w:sz="0" w:space="0" w:color="auto"/>
            <w:right w:val="none" w:sz="0" w:space="0" w:color="auto"/>
          </w:divBdr>
        </w:div>
        <w:div w:id="1024092314">
          <w:marLeft w:val="0"/>
          <w:marRight w:val="0"/>
          <w:marTop w:val="0"/>
          <w:marBottom w:val="0"/>
          <w:divBdr>
            <w:top w:val="none" w:sz="0" w:space="0" w:color="auto"/>
            <w:left w:val="none" w:sz="0" w:space="0" w:color="auto"/>
            <w:bottom w:val="none" w:sz="0" w:space="0" w:color="auto"/>
            <w:right w:val="none" w:sz="0" w:space="0" w:color="auto"/>
          </w:divBdr>
        </w:div>
      </w:divsChild>
    </w:div>
    <w:div w:id="355890726">
      <w:bodyDiv w:val="1"/>
      <w:marLeft w:val="0"/>
      <w:marRight w:val="0"/>
      <w:marTop w:val="0"/>
      <w:marBottom w:val="0"/>
      <w:divBdr>
        <w:top w:val="none" w:sz="0" w:space="0" w:color="auto"/>
        <w:left w:val="none" w:sz="0" w:space="0" w:color="auto"/>
        <w:bottom w:val="none" w:sz="0" w:space="0" w:color="auto"/>
        <w:right w:val="none" w:sz="0" w:space="0" w:color="auto"/>
      </w:divBdr>
      <w:divsChild>
        <w:div w:id="128398403">
          <w:marLeft w:val="0"/>
          <w:marRight w:val="0"/>
          <w:marTop w:val="0"/>
          <w:marBottom w:val="0"/>
          <w:divBdr>
            <w:top w:val="none" w:sz="0" w:space="0" w:color="auto"/>
            <w:left w:val="none" w:sz="0" w:space="0" w:color="auto"/>
            <w:bottom w:val="none" w:sz="0" w:space="0" w:color="auto"/>
            <w:right w:val="none" w:sz="0" w:space="0" w:color="auto"/>
          </w:divBdr>
        </w:div>
        <w:div w:id="219945796">
          <w:marLeft w:val="0"/>
          <w:marRight w:val="0"/>
          <w:marTop w:val="0"/>
          <w:marBottom w:val="0"/>
          <w:divBdr>
            <w:top w:val="none" w:sz="0" w:space="0" w:color="auto"/>
            <w:left w:val="none" w:sz="0" w:space="0" w:color="auto"/>
            <w:bottom w:val="none" w:sz="0" w:space="0" w:color="auto"/>
            <w:right w:val="none" w:sz="0" w:space="0" w:color="auto"/>
          </w:divBdr>
        </w:div>
        <w:div w:id="260188632">
          <w:marLeft w:val="0"/>
          <w:marRight w:val="0"/>
          <w:marTop w:val="0"/>
          <w:marBottom w:val="0"/>
          <w:divBdr>
            <w:top w:val="none" w:sz="0" w:space="0" w:color="auto"/>
            <w:left w:val="none" w:sz="0" w:space="0" w:color="auto"/>
            <w:bottom w:val="none" w:sz="0" w:space="0" w:color="auto"/>
            <w:right w:val="none" w:sz="0" w:space="0" w:color="auto"/>
          </w:divBdr>
        </w:div>
        <w:div w:id="541215803">
          <w:marLeft w:val="0"/>
          <w:marRight w:val="0"/>
          <w:marTop w:val="0"/>
          <w:marBottom w:val="0"/>
          <w:divBdr>
            <w:top w:val="none" w:sz="0" w:space="0" w:color="auto"/>
            <w:left w:val="none" w:sz="0" w:space="0" w:color="auto"/>
            <w:bottom w:val="none" w:sz="0" w:space="0" w:color="auto"/>
            <w:right w:val="none" w:sz="0" w:space="0" w:color="auto"/>
          </w:divBdr>
        </w:div>
        <w:div w:id="1059405491">
          <w:marLeft w:val="0"/>
          <w:marRight w:val="0"/>
          <w:marTop w:val="0"/>
          <w:marBottom w:val="0"/>
          <w:divBdr>
            <w:top w:val="none" w:sz="0" w:space="0" w:color="auto"/>
            <w:left w:val="none" w:sz="0" w:space="0" w:color="auto"/>
            <w:bottom w:val="none" w:sz="0" w:space="0" w:color="auto"/>
            <w:right w:val="none" w:sz="0" w:space="0" w:color="auto"/>
          </w:divBdr>
        </w:div>
        <w:div w:id="1488859668">
          <w:marLeft w:val="0"/>
          <w:marRight w:val="0"/>
          <w:marTop w:val="0"/>
          <w:marBottom w:val="0"/>
          <w:divBdr>
            <w:top w:val="none" w:sz="0" w:space="0" w:color="auto"/>
            <w:left w:val="none" w:sz="0" w:space="0" w:color="auto"/>
            <w:bottom w:val="none" w:sz="0" w:space="0" w:color="auto"/>
            <w:right w:val="none" w:sz="0" w:space="0" w:color="auto"/>
          </w:divBdr>
        </w:div>
        <w:div w:id="1625575769">
          <w:marLeft w:val="0"/>
          <w:marRight w:val="0"/>
          <w:marTop w:val="0"/>
          <w:marBottom w:val="0"/>
          <w:divBdr>
            <w:top w:val="none" w:sz="0" w:space="0" w:color="auto"/>
            <w:left w:val="none" w:sz="0" w:space="0" w:color="auto"/>
            <w:bottom w:val="none" w:sz="0" w:space="0" w:color="auto"/>
            <w:right w:val="none" w:sz="0" w:space="0" w:color="auto"/>
          </w:divBdr>
        </w:div>
        <w:div w:id="1826318365">
          <w:marLeft w:val="0"/>
          <w:marRight w:val="0"/>
          <w:marTop w:val="0"/>
          <w:marBottom w:val="0"/>
          <w:divBdr>
            <w:top w:val="none" w:sz="0" w:space="0" w:color="auto"/>
            <w:left w:val="none" w:sz="0" w:space="0" w:color="auto"/>
            <w:bottom w:val="none" w:sz="0" w:space="0" w:color="auto"/>
            <w:right w:val="none" w:sz="0" w:space="0" w:color="auto"/>
          </w:divBdr>
        </w:div>
      </w:divsChild>
    </w:div>
    <w:div w:id="422534436">
      <w:bodyDiv w:val="1"/>
      <w:marLeft w:val="0"/>
      <w:marRight w:val="0"/>
      <w:marTop w:val="0"/>
      <w:marBottom w:val="0"/>
      <w:divBdr>
        <w:top w:val="none" w:sz="0" w:space="0" w:color="auto"/>
        <w:left w:val="none" w:sz="0" w:space="0" w:color="auto"/>
        <w:bottom w:val="none" w:sz="0" w:space="0" w:color="auto"/>
        <w:right w:val="none" w:sz="0" w:space="0" w:color="auto"/>
      </w:divBdr>
    </w:div>
    <w:div w:id="577331191">
      <w:bodyDiv w:val="1"/>
      <w:marLeft w:val="0"/>
      <w:marRight w:val="0"/>
      <w:marTop w:val="0"/>
      <w:marBottom w:val="0"/>
      <w:divBdr>
        <w:top w:val="none" w:sz="0" w:space="0" w:color="auto"/>
        <w:left w:val="none" w:sz="0" w:space="0" w:color="auto"/>
        <w:bottom w:val="none" w:sz="0" w:space="0" w:color="auto"/>
        <w:right w:val="none" w:sz="0" w:space="0" w:color="auto"/>
      </w:divBdr>
    </w:div>
    <w:div w:id="615913727">
      <w:bodyDiv w:val="1"/>
      <w:marLeft w:val="0"/>
      <w:marRight w:val="0"/>
      <w:marTop w:val="0"/>
      <w:marBottom w:val="0"/>
      <w:divBdr>
        <w:top w:val="none" w:sz="0" w:space="0" w:color="auto"/>
        <w:left w:val="none" w:sz="0" w:space="0" w:color="auto"/>
        <w:bottom w:val="none" w:sz="0" w:space="0" w:color="auto"/>
        <w:right w:val="none" w:sz="0" w:space="0" w:color="auto"/>
      </w:divBdr>
      <w:divsChild>
        <w:div w:id="1299845776">
          <w:marLeft w:val="0"/>
          <w:marRight w:val="0"/>
          <w:marTop w:val="0"/>
          <w:marBottom w:val="0"/>
          <w:divBdr>
            <w:top w:val="none" w:sz="0" w:space="0" w:color="auto"/>
            <w:left w:val="none" w:sz="0" w:space="0" w:color="auto"/>
            <w:bottom w:val="none" w:sz="0" w:space="0" w:color="auto"/>
            <w:right w:val="none" w:sz="0" w:space="0" w:color="auto"/>
          </w:divBdr>
          <w:divsChild>
            <w:div w:id="311298194">
              <w:marLeft w:val="0"/>
              <w:marRight w:val="0"/>
              <w:marTop w:val="0"/>
              <w:marBottom w:val="0"/>
              <w:divBdr>
                <w:top w:val="none" w:sz="0" w:space="0" w:color="auto"/>
                <w:left w:val="none" w:sz="0" w:space="0" w:color="auto"/>
                <w:bottom w:val="none" w:sz="0" w:space="0" w:color="auto"/>
                <w:right w:val="none" w:sz="0" w:space="0" w:color="auto"/>
              </w:divBdr>
              <w:divsChild>
                <w:div w:id="1871139599">
                  <w:marLeft w:val="0"/>
                  <w:marRight w:val="0"/>
                  <w:marTop w:val="100"/>
                  <w:marBottom w:val="100"/>
                  <w:divBdr>
                    <w:top w:val="none" w:sz="0" w:space="0" w:color="auto"/>
                    <w:left w:val="none" w:sz="0" w:space="0" w:color="auto"/>
                    <w:bottom w:val="none" w:sz="0" w:space="0" w:color="auto"/>
                    <w:right w:val="none" w:sz="0" w:space="0" w:color="auto"/>
                  </w:divBdr>
                  <w:divsChild>
                    <w:div w:id="577137881">
                      <w:marLeft w:val="0"/>
                      <w:marRight w:val="0"/>
                      <w:marTop w:val="0"/>
                      <w:marBottom w:val="0"/>
                      <w:divBdr>
                        <w:top w:val="none" w:sz="0" w:space="0" w:color="auto"/>
                        <w:left w:val="none" w:sz="0" w:space="0" w:color="auto"/>
                        <w:bottom w:val="none" w:sz="0" w:space="0" w:color="auto"/>
                        <w:right w:val="none" w:sz="0" w:space="0" w:color="auto"/>
                      </w:divBdr>
                      <w:divsChild>
                        <w:div w:id="490679844">
                          <w:marLeft w:val="0"/>
                          <w:marRight w:val="0"/>
                          <w:marTop w:val="0"/>
                          <w:marBottom w:val="0"/>
                          <w:divBdr>
                            <w:top w:val="none" w:sz="0" w:space="0" w:color="auto"/>
                            <w:left w:val="none" w:sz="0" w:space="0" w:color="auto"/>
                            <w:bottom w:val="none" w:sz="0" w:space="0" w:color="auto"/>
                            <w:right w:val="none" w:sz="0" w:space="0" w:color="auto"/>
                          </w:divBdr>
                          <w:divsChild>
                            <w:div w:id="1509950178">
                              <w:marLeft w:val="0"/>
                              <w:marRight w:val="0"/>
                              <w:marTop w:val="0"/>
                              <w:marBottom w:val="0"/>
                              <w:divBdr>
                                <w:top w:val="none" w:sz="0" w:space="0" w:color="auto"/>
                                <w:left w:val="none" w:sz="0" w:space="0" w:color="auto"/>
                                <w:bottom w:val="none" w:sz="0" w:space="0" w:color="auto"/>
                                <w:right w:val="none" w:sz="0" w:space="0" w:color="auto"/>
                              </w:divBdr>
                              <w:divsChild>
                                <w:div w:id="116292639">
                                  <w:marLeft w:val="0"/>
                                  <w:marRight w:val="0"/>
                                  <w:marTop w:val="0"/>
                                  <w:marBottom w:val="0"/>
                                  <w:divBdr>
                                    <w:top w:val="none" w:sz="0" w:space="0" w:color="auto"/>
                                    <w:left w:val="none" w:sz="0" w:space="0" w:color="auto"/>
                                    <w:bottom w:val="none" w:sz="0" w:space="0" w:color="auto"/>
                                    <w:right w:val="none" w:sz="0" w:space="0" w:color="auto"/>
                                  </w:divBdr>
                                  <w:divsChild>
                                    <w:div w:id="1324776804">
                                      <w:marLeft w:val="0"/>
                                      <w:marRight w:val="0"/>
                                      <w:marTop w:val="0"/>
                                      <w:marBottom w:val="0"/>
                                      <w:divBdr>
                                        <w:top w:val="none" w:sz="0" w:space="0" w:color="auto"/>
                                        <w:left w:val="none" w:sz="0" w:space="0" w:color="auto"/>
                                        <w:bottom w:val="none" w:sz="0" w:space="0" w:color="auto"/>
                                        <w:right w:val="none" w:sz="0" w:space="0" w:color="auto"/>
                                      </w:divBdr>
                                      <w:divsChild>
                                        <w:div w:id="1084955939">
                                          <w:marLeft w:val="0"/>
                                          <w:marRight w:val="0"/>
                                          <w:marTop w:val="0"/>
                                          <w:marBottom w:val="0"/>
                                          <w:divBdr>
                                            <w:top w:val="none" w:sz="0" w:space="0" w:color="auto"/>
                                            <w:left w:val="none" w:sz="0" w:space="0" w:color="auto"/>
                                            <w:bottom w:val="none" w:sz="0" w:space="0" w:color="auto"/>
                                            <w:right w:val="none" w:sz="0" w:space="0" w:color="auto"/>
                                          </w:divBdr>
                                          <w:divsChild>
                                            <w:div w:id="757289114">
                                              <w:marLeft w:val="0"/>
                                              <w:marRight w:val="0"/>
                                              <w:marTop w:val="0"/>
                                              <w:marBottom w:val="0"/>
                                              <w:divBdr>
                                                <w:top w:val="none" w:sz="0" w:space="0" w:color="auto"/>
                                                <w:left w:val="none" w:sz="0" w:space="0" w:color="auto"/>
                                                <w:bottom w:val="none" w:sz="0" w:space="0" w:color="auto"/>
                                                <w:right w:val="none" w:sz="0" w:space="0" w:color="auto"/>
                                              </w:divBdr>
                                              <w:divsChild>
                                                <w:div w:id="921991801">
                                                  <w:marLeft w:val="0"/>
                                                  <w:marRight w:val="300"/>
                                                  <w:marTop w:val="0"/>
                                                  <w:marBottom w:val="0"/>
                                                  <w:divBdr>
                                                    <w:top w:val="none" w:sz="0" w:space="0" w:color="auto"/>
                                                    <w:left w:val="none" w:sz="0" w:space="0" w:color="auto"/>
                                                    <w:bottom w:val="none" w:sz="0" w:space="0" w:color="auto"/>
                                                    <w:right w:val="none" w:sz="0" w:space="0" w:color="auto"/>
                                                  </w:divBdr>
                                                  <w:divsChild>
                                                    <w:div w:id="1743139781">
                                                      <w:marLeft w:val="0"/>
                                                      <w:marRight w:val="0"/>
                                                      <w:marTop w:val="0"/>
                                                      <w:marBottom w:val="0"/>
                                                      <w:divBdr>
                                                        <w:top w:val="none" w:sz="0" w:space="0" w:color="auto"/>
                                                        <w:left w:val="none" w:sz="0" w:space="0" w:color="auto"/>
                                                        <w:bottom w:val="none" w:sz="0" w:space="0" w:color="auto"/>
                                                        <w:right w:val="none" w:sz="0" w:space="0" w:color="auto"/>
                                                      </w:divBdr>
                                                      <w:divsChild>
                                                        <w:div w:id="1355379062">
                                                          <w:marLeft w:val="0"/>
                                                          <w:marRight w:val="0"/>
                                                          <w:marTop w:val="0"/>
                                                          <w:marBottom w:val="300"/>
                                                          <w:divBdr>
                                                            <w:top w:val="single" w:sz="6" w:space="0" w:color="CCCCCC"/>
                                                            <w:left w:val="none" w:sz="0" w:space="0" w:color="auto"/>
                                                            <w:bottom w:val="none" w:sz="0" w:space="0" w:color="auto"/>
                                                            <w:right w:val="none" w:sz="0" w:space="0" w:color="auto"/>
                                                          </w:divBdr>
                                                          <w:divsChild>
                                                            <w:div w:id="1675764617">
                                                              <w:marLeft w:val="0"/>
                                                              <w:marRight w:val="0"/>
                                                              <w:marTop w:val="0"/>
                                                              <w:marBottom w:val="0"/>
                                                              <w:divBdr>
                                                                <w:top w:val="none" w:sz="0" w:space="0" w:color="auto"/>
                                                                <w:left w:val="none" w:sz="0" w:space="0" w:color="auto"/>
                                                                <w:bottom w:val="none" w:sz="0" w:space="0" w:color="auto"/>
                                                                <w:right w:val="none" w:sz="0" w:space="0" w:color="auto"/>
                                                              </w:divBdr>
                                                              <w:divsChild>
                                                                <w:div w:id="1227180026">
                                                                  <w:marLeft w:val="0"/>
                                                                  <w:marRight w:val="0"/>
                                                                  <w:marTop w:val="0"/>
                                                                  <w:marBottom w:val="0"/>
                                                                  <w:divBdr>
                                                                    <w:top w:val="none" w:sz="0" w:space="0" w:color="auto"/>
                                                                    <w:left w:val="none" w:sz="0" w:space="0" w:color="auto"/>
                                                                    <w:bottom w:val="none" w:sz="0" w:space="0" w:color="auto"/>
                                                                    <w:right w:val="none" w:sz="0" w:space="0" w:color="auto"/>
                                                                  </w:divBdr>
                                                                  <w:divsChild>
                                                                    <w:div w:id="1336571771">
                                                                      <w:marLeft w:val="0"/>
                                                                      <w:marRight w:val="0"/>
                                                                      <w:marTop w:val="0"/>
                                                                      <w:marBottom w:val="0"/>
                                                                      <w:divBdr>
                                                                        <w:top w:val="none" w:sz="0" w:space="0" w:color="auto"/>
                                                                        <w:left w:val="none" w:sz="0" w:space="0" w:color="auto"/>
                                                                        <w:bottom w:val="none" w:sz="0" w:space="0" w:color="auto"/>
                                                                        <w:right w:val="none" w:sz="0" w:space="0" w:color="auto"/>
                                                                      </w:divBdr>
                                                                      <w:divsChild>
                                                                        <w:div w:id="904802443">
                                                                          <w:marLeft w:val="0"/>
                                                                          <w:marRight w:val="0"/>
                                                                          <w:marTop w:val="0"/>
                                                                          <w:marBottom w:val="0"/>
                                                                          <w:divBdr>
                                                                            <w:top w:val="none" w:sz="0" w:space="0" w:color="auto"/>
                                                                            <w:left w:val="none" w:sz="0" w:space="0" w:color="auto"/>
                                                                            <w:bottom w:val="none" w:sz="0" w:space="0" w:color="auto"/>
                                                                            <w:right w:val="none" w:sz="0" w:space="0" w:color="auto"/>
                                                                          </w:divBdr>
                                                                          <w:divsChild>
                                                                            <w:div w:id="1940524491">
                                                                              <w:marLeft w:val="0"/>
                                                                              <w:marRight w:val="0"/>
                                                                              <w:marTop w:val="0"/>
                                                                              <w:marBottom w:val="0"/>
                                                                              <w:divBdr>
                                                                                <w:top w:val="none" w:sz="0" w:space="0" w:color="auto"/>
                                                                                <w:left w:val="none" w:sz="0" w:space="0" w:color="auto"/>
                                                                                <w:bottom w:val="none" w:sz="0" w:space="0" w:color="auto"/>
                                                                                <w:right w:val="single" w:sz="6" w:space="11" w:color="C0C0C0"/>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130832">
      <w:bodyDiv w:val="1"/>
      <w:marLeft w:val="0"/>
      <w:marRight w:val="0"/>
      <w:marTop w:val="0"/>
      <w:marBottom w:val="0"/>
      <w:divBdr>
        <w:top w:val="none" w:sz="0" w:space="0" w:color="auto"/>
        <w:left w:val="none" w:sz="0" w:space="0" w:color="auto"/>
        <w:bottom w:val="none" w:sz="0" w:space="0" w:color="auto"/>
        <w:right w:val="none" w:sz="0" w:space="0" w:color="auto"/>
      </w:divBdr>
    </w:div>
    <w:div w:id="632566999">
      <w:bodyDiv w:val="1"/>
      <w:marLeft w:val="0"/>
      <w:marRight w:val="0"/>
      <w:marTop w:val="0"/>
      <w:marBottom w:val="0"/>
      <w:divBdr>
        <w:top w:val="none" w:sz="0" w:space="0" w:color="auto"/>
        <w:left w:val="none" w:sz="0" w:space="0" w:color="auto"/>
        <w:bottom w:val="none" w:sz="0" w:space="0" w:color="auto"/>
        <w:right w:val="none" w:sz="0" w:space="0" w:color="auto"/>
      </w:divBdr>
    </w:div>
    <w:div w:id="655570341">
      <w:bodyDiv w:val="1"/>
      <w:marLeft w:val="0"/>
      <w:marRight w:val="0"/>
      <w:marTop w:val="0"/>
      <w:marBottom w:val="0"/>
      <w:divBdr>
        <w:top w:val="none" w:sz="0" w:space="0" w:color="auto"/>
        <w:left w:val="none" w:sz="0" w:space="0" w:color="auto"/>
        <w:bottom w:val="none" w:sz="0" w:space="0" w:color="auto"/>
        <w:right w:val="none" w:sz="0" w:space="0" w:color="auto"/>
      </w:divBdr>
      <w:divsChild>
        <w:div w:id="7761318">
          <w:marLeft w:val="0"/>
          <w:marRight w:val="0"/>
          <w:marTop w:val="0"/>
          <w:marBottom w:val="0"/>
          <w:divBdr>
            <w:top w:val="none" w:sz="0" w:space="0" w:color="auto"/>
            <w:left w:val="none" w:sz="0" w:space="0" w:color="auto"/>
            <w:bottom w:val="none" w:sz="0" w:space="0" w:color="auto"/>
            <w:right w:val="none" w:sz="0" w:space="0" w:color="auto"/>
          </w:divBdr>
          <w:divsChild>
            <w:div w:id="514809899">
              <w:marLeft w:val="0"/>
              <w:marRight w:val="0"/>
              <w:marTop w:val="0"/>
              <w:marBottom w:val="0"/>
              <w:divBdr>
                <w:top w:val="none" w:sz="0" w:space="0" w:color="auto"/>
                <w:left w:val="none" w:sz="0" w:space="0" w:color="auto"/>
                <w:bottom w:val="none" w:sz="0" w:space="0" w:color="auto"/>
                <w:right w:val="none" w:sz="0" w:space="0" w:color="auto"/>
              </w:divBdr>
              <w:divsChild>
                <w:div w:id="1357266842">
                  <w:marLeft w:val="0"/>
                  <w:marRight w:val="0"/>
                  <w:marTop w:val="0"/>
                  <w:marBottom w:val="0"/>
                  <w:divBdr>
                    <w:top w:val="none" w:sz="0" w:space="0" w:color="auto"/>
                    <w:left w:val="none" w:sz="0" w:space="0" w:color="auto"/>
                    <w:bottom w:val="none" w:sz="0" w:space="0" w:color="auto"/>
                    <w:right w:val="none" w:sz="0" w:space="0" w:color="auto"/>
                  </w:divBdr>
                  <w:divsChild>
                    <w:div w:id="644437367">
                      <w:marLeft w:val="0"/>
                      <w:marRight w:val="0"/>
                      <w:marTop w:val="0"/>
                      <w:marBottom w:val="0"/>
                      <w:divBdr>
                        <w:top w:val="none" w:sz="0" w:space="0" w:color="auto"/>
                        <w:left w:val="none" w:sz="0" w:space="0" w:color="auto"/>
                        <w:bottom w:val="none" w:sz="0" w:space="0" w:color="auto"/>
                        <w:right w:val="none" w:sz="0" w:space="0" w:color="auto"/>
                      </w:divBdr>
                      <w:divsChild>
                        <w:div w:id="232740667">
                          <w:marLeft w:val="0"/>
                          <w:marRight w:val="0"/>
                          <w:marTop w:val="0"/>
                          <w:marBottom w:val="0"/>
                          <w:divBdr>
                            <w:top w:val="none" w:sz="0" w:space="0" w:color="auto"/>
                            <w:left w:val="none" w:sz="0" w:space="0" w:color="auto"/>
                            <w:bottom w:val="none" w:sz="0" w:space="0" w:color="auto"/>
                            <w:right w:val="none" w:sz="0" w:space="0" w:color="auto"/>
                          </w:divBdr>
                          <w:divsChild>
                            <w:div w:id="1179613533">
                              <w:marLeft w:val="0"/>
                              <w:marRight w:val="0"/>
                              <w:marTop w:val="0"/>
                              <w:marBottom w:val="0"/>
                              <w:divBdr>
                                <w:top w:val="none" w:sz="0" w:space="0" w:color="auto"/>
                                <w:left w:val="none" w:sz="0" w:space="0" w:color="auto"/>
                                <w:bottom w:val="none" w:sz="0" w:space="0" w:color="auto"/>
                                <w:right w:val="none" w:sz="0" w:space="0" w:color="auto"/>
                              </w:divBdr>
                              <w:divsChild>
                                <w:div w:id="384574371">
                                  <w:marLeft w:val="0"/>
                                  <w:marRight w:val="0"/>
                                  <w:marTop w:val="0"/>
                                  <w:marBottom w:val="0"/>
                                  <w:divBdr>
                                    <w:top w:val="none" w:sz="0" w:space="0" w:color="auto"/>
                                    <w:left w:val="none" w:sz="0" w:space="0" w:color="auto"/>
                                    <w:bottom w:val="none" w:sz="0" w:space="0" w:color="auto"/>
                                    <w:right w:val="none" w:sz="0" w:space="0" w:color="auto"/>
                                  </w:divBdr>
                                  <w:divsChild>
                                    <w:div w:id="705982225">
                                      <w:marLeft w:val="0"/>
                                      <w:marRight w:val="0"/>
                                      <w:marTop w:val="0"/>
                                      <w:marBottom w:val="0"/>
                                      <w:divBdr>
                                        <w:top w:val="none" w:sz="0" w:space="0" w:color="auto"/>
                                        <w:left w:val="none" w:sz="0" w:space="0" w:color="auto"/>
                                        <w:bottom w:val="none" w:sz="0" w:space="0" w:color="auto"/>
                                        <w:right w:val="none" w:sz="0" w:space="0" w:color="auto"/>
                                      </w:divBdr>
                                      <w:divsChild>
                                        <w:div w:id="1298412909">
                                          <w:marLeft w:val="0"/>
                                          <w:marRight w:val="0"/>
                                          <w:marTop w:val="0"/>
                                          <w:marBottom w:val="0"/>
                                          <w:divBdr>
                                            <w:top w:val="none" w:sz="0" w:space="0" w:color="auto"/>
                                            <w:left w:val="none" w:sz="0" w:space="0" w:color="auto"/>
                                            <w:bottom w:val="none" w:sz="0" w:space="0" w:color="auto"/>
                                            <w:right w:val="none" w:sz="0" w:space="0" w:color="auto"/>
                                          </w:divBdr>
                                          <w:divsChild>
                                            <w:div w:id="332032329">
                                              <w:marLeft w:val="4305"/>
                                              <w:marRight w:val="0"/>
                                              <w:marTop w:val="0"/>
                                              <w:marBottom w:val="0"/>
                                              <w:divBdr>
                                                <w:top w:val="single" w:sz="6" w:space="0" w:color="D2D5D7"/>
                                                <w:left w:val="single" w:sz="6" w:space="0" w:color="D2D5D7"/>
                                                <w:bottom w:val="none" w:sz="0" w:space="0" w:color="auto"/>
                                                <w:right w:val="single" w:sz="6" w:space="0" w:color="D2D5D7"/>
                                              </w:divBdr>
                                              <w:divsChild>
                                                <w:div w:id="877084663">
                                                  <w:marLeft w:val="0"/>
                                                  <w:marRight w:val="0"/>
                                                  <w:marTop w:val="0"/>
                                                  <w:marBottom w:val="0"/>
                                                  <w:divBdr>
                                                    <w:top w:val="none" w:sz="0" w:space="0" w:color="auto"/>
                                                    <w:left w:val="none" w:sz="0" w:space="0" w:color="auto"/>
                                                    <w:bottom w:val="none" w:sz="0" w:space="0" w:color="auto"/>
                                                    <w:right w:val="none" w:sz="0" w:space="0" w:color="auto"/>
                                                  </w:divBdr>
                                                  <w:divsChild>
                                                    <w:div w:id="267279087">
                                                      <w:marLeft w:val="0"/>
                                                      <w:marRight w:val="0"/>
                                                      <w:marTop w:val="0"/>
                                                      <w:marBottom w:val="0"/>
                                                      <w:divBdr>
                                                        <w:top w:val="none" w:sz="0" w:space="0" w:color="auto"/>
                                                        <w:left w:val="none" w:sz="0" w:space="0" w:color="auto"/>
                                                        <w:bottom w:val="none" w:sz="0" w:space="0" w:color="auto"/>
                                                        <w:right w:val="none" w:sz="0" w:space="0" w:color="auto"/>
                                                      </w:divBdr>
                                                      <w:divsChild>
                                                        <w:div w:id="1828938839">
                                                          <w:marLeft w:val="0"/>
                                                          <w:marRight w:val="0"/>
                                                          <w:marTop w:val="0"/>
                                                          <w:marBottom w:val="0"/>
                                                          <w:divBdr>
                                                            <w:top w:val="none" w:sz="0" w:space="0" w:color="auto"/>
                                                            <w:left w:val="none" w:sz="0" w:space="0" w:color="auto"/>
                                                            <w:bottom w:val="none" w:sz="0" w:space="0" w:color="auto"/>
                                                            <w:right w:val="none" w:sz="0" w:space="0" w:color="auto"/>
                                                          </w:divBdr>
                                                          <w:divsChild>
                                                            <w:div w:id="1218855947">
                                                              <w:marLeft w:val="-15"/>
                                                              <w:marRight w:val="0"/>
                                                              <w:marTop w:val="0"/>
                                                              <w:marBottom w:val="0"/>
                                                              <w:divBdr>
                                                                <w:top w:val="none" w:sz="0" w:space="0" w:color="auto"/>
                                                                <w:left w:val="none" w:sz="0" w:space="0" w:color="auto"/>
                                                                <w:bottom w:val="none" w:sz="0" w:space="0" w:color="auto"/>
                                                                <w:right w:val="none" w:sz="0" w:space="0" w:color="auto"/>
                                                              </w:divBdr>
                                                              <w:divsChild>
                                                                <w:div w:id="1431662842">
                                                                  <w:marLeft w:val="0"/>
                                                                  <w:marRight w:val="0"/>
                                                                  <w:marTop w:val="0"/>
                                                                  <w:marBottom w:val="0"/>
                                                                  <w:divBdr>
                                                                    <w:top w:val="none" w:sz="0" w:space="0" w:color="auto"/>
                                                                    <w:left w:val="none" w:sz="0" w:space="0" w:color="auto"/>
                                                                    <w:bottom w:val="none" w:sz="0" w:space="0" w:color="auto"/>
                                                                    <w:right w:val="none" w:sz="0" w:space="0" w:color="auto"/>
                                                                  </w:divBdr>
                                                                  <w:divsChild>
                                                                    <w:div w:id="2131432929">
                                                                      <w:marLeft w:val="0"/>
                                                                      <w:marRight w:val="0"/>
                                                                      <w:marTop w:val="0"/>
                                                                      <w:marBottom w:val="0"/>
                                                                      <w:divBdr>
                                                                        <w:top w:val="none" w:sz="0" w:space="0" w:color="auto"/>
                                                                        <w:left w:val="none" w:sz="0" w:space="0" w:color="auto"/>
                                                                        <w:bottom w:val="none" w:sz="0" w:space="0" w:color="auto"/>
                                                                        <w:right w:val="none" w:sz="0" w:space="0" w:color="auto"/>
                                                                      </w:divBdr>
                                                                      <w:divsChild>
                                                                        <w:div w:id="15038855">
                                                                          <w:marLeft w:val="0"/>
                                                                          <w:marRight w:val="0"/>
                                                                          <w:marTop w:val="0"/>
                                                                          <w:marBottom w:val="0"/>
                                                                          <w:divBdr>
                                                                            <w:top w:val="none" w:sz="0" w:space="0" w:color="auto"/>
                                                                            <w:left w:val="none" w:sz="0" w:space="0" w:color="auto"/>
                                                                            <w:bottom w:val="none" w:sz="0" w:space="0" w:color="auto"/>
                                                                            <w:right w:val="none" w:sz="0" w:space="0" w:color="auto"/>
                                                                          </w:divBdr>
                                                                        </w:div>
                                                                        <w:div w:id="29503678">
                                                                          <w:marLeft w:val="-15"/>
                                                                          <w:marRight w:val="0"/>
                                                                          <w:marTop w:val="0"/>
                                                                          <w:marBottom w:val="0"/>
                                                                          <w:divBdr>
                                                                            <w:top w:val="none" w:sz="0" w:space="0" w:color="auto"/>
                                                                            <w:left w:val="none" w:sz="0" w:space="0" w:color="auto"/>
                                                                            <w:bottom w:val="none" w:sz="0" w:space="0" w:color="auto"/>
                                                                            <w:right w:val="none" w:sz="0" w:space="0" w:color="auto"/>
                                                                          </w:divBdr>
                                                                        </w:div>
                                                                        <w:div w:id="153886342">
                                                                          <w:marLeft w:val="0"/>
                                                                          <w:marRight w:val="0"/>
                                                                          <w:marTop w:val="0"/>
                                                                          <w:marBottom w:val="0"/>
                                                                          <w:divBdr>
                                                                            <w:top w:val="none" w:sz="0" w:space="0" w:color="auto"/>
                                                                            <w:left w:val="none" w:sz="0" w:space="0" w:color="auto"/>
                                                                            <w:bottom w:val="none" w:sz="0" w:space="0" w:color="auto"/>
                                                                            <w:right w:val="none" w:sz="0" w:space="0" w:color="auto"/>
                                                                          </w:divBdr>
                                                                        </w:div>
                                                                        <w:div w:id="154734703">
                                                                          <w:marLeft w:val="-15"/>
                                                                          <w:marRight w:val="0"/>
                                                                          <w:marTop w:val="0"/>
                                                                          <w:marBottom w:val="0"/>
                                                                          <w:divBdr>
                                                                            <w:top w:val="none" w:sz="0" w:space="0" w:color="auto"/>
                                                                            <w:left w:val="none" w:sz="0" w:space="0" w:color="auto"/>
                                                                            <w:bottom w:val="none" w:sz="0" w:space="0" w:color="auto"/>
                                                                            <w:right w:val="none" w:sz="0" w:space="0" w:color="auto"/>
                                                                          </w:divBdr>
                                                                        </w:div>
                                                                        <w:div w:id="155655832">
                                                                          <w:marLeft w:val="-15"/>
                                                                          <w:marRight w:val="0"/>
                                                                          <w:marTop w:val="0"/>
                                                                          <w:marBottom w:val="0"/>
                                                                          <w:divBdr>
                                                                            <w:top w:val="none" w:sz="0" w:space="0" w:color="auto"/>
                                                                            <w:left w:val="none" w:sz="0" w:space="0" w:color="auto"/>
                                                                            <w:bottom w:val="none" w:sz="0" w:space="0" w:color="auto"/>
                                                                            <w:right w:val="none" w:sz="0" w:space="0" w:color="auto"/>
                                                                          </w:divBdr>
                                                                        </w:div>
                                                                        <w:div w:id="241531283">
                                                                          <w:marLeft w:val="-15"/>
                                                                          <w:marRight w:val="0"/>
                                                                          <w:marTop w:val="0"/>
                                                                          <w:marBottom w:val="0"/>
                                                                          <w:divBdr>
                                                                            <w:top w:val="none" w:sz="0" w:space="0" w:color="auto"/>
                                                                            <w:left w:val="none" w:sz="0" w:space="0" w:color="auto"/>
                                                                            <w:bottom w:val="none" w:sz="0" w:space="0" w:color="auto"/>
                                                                            <w:right w:val="none" w:sz="0" w:space="0" w:color="auto"/>
                                                                          </w:divBdr>
                                                                        </w:div>
                                                                        <w:div w:id="358167670">
                                                                          <w:marLeft w:val="0"/>
                                                                          <w:marRight w:val="0"/>
                                                                          <w:marTop w:val="0"/>
                                                                          <w:marBottom w:val="0"/>
                                                                          <w:divBdr>
                                                                            <w:top w:val="none" w:sz="0" w:space="0" w:color="auto"/>
                                                                            <w:left w:val="none" w:sz="0" w:space="0" w:color="auto"/>
                                                                            <w:bottom w:val="none" w:sz="0" w:space="0" w:color="auto"/>
                                                                            <w:right w:val="none" w:sz="0" w:space="0" w:color="auto"/>
                                                                          </w:divBdr>
                                                                        </w:div>
                                                                        <w:div w:id="615327499">
                                                                          <w:marLeft w:val="-15"/>
                                                                          <w:marRight w:val="0"/>
                                                                          <w:marTop w:val="0"/>
                                                                          <w:marBottom w:val="0"/>
                                                                          <w:divBdr>
                                                                            <w:top w:val="none" w:sz="0" w:space="0" w:color="auto"/>
                                                                            <w:left w:val="none" w:sz="0" w:space="0" w:color="auto"/>
                                                                            <w:bottom w:val="none" w:sz="0" w:space="0" w:color="auto"/>
                                                                            <w:right w:val="none" w:sz="0" w:space="0" w:color="auto"/>
                                                                          </w:divBdr>
                                                                        </w:div>
                                                                        <w:div w:id="618730635">
                                                                          <w:marLeft w:val="-15"/>
                                                                          <w:marRight w:val="0"/>
                                                                          <w:marTop w:val="0"/>
                                                                          <w:marBottom w:val="0"/>
                                                                          <w:divBdr>
                                                                            <w:top w:val="none" w:sz="0" w:space="0" w:color="auto"/>
                                                                            <w:left w:val="none" w:sz="0" w:space="0" w:color="auto"/>
                                                                            <w:bottom w:val="none" w:sz="0" w:space="0" w:color="auto"/>
                                                                            <w:right w:val="none" w:sz="0" w:space="0" w:color="auto"/>
                                                                          </w:divBdr>
                                                                        </w:div>
                                                                        <w:div w:id="689600649">
                                                                          <w:marLeft w:val="-15"/>
                                                                          <w:marRight w:val="0"/>
                                                                          <w:marTop w:val="0"/>
                                                                          <w:marBottom w:val="0"/>
                                                                          <w:divBdr>
                                                                            <w:top w:val="none" w:sz="0" w:space="0" w:color="auto"/>
                                                                            <w:left w:val="none" w:sz="0" w:space="0" w:color="auto"/>
                                                                            <w:bottom w:val="none" w:sz="0" w:space="0" w:color="auto"/>
                                                                            <w:right w:val="none" w:sz="0" w:space="0" w:color="auto"/>
                                                                          </w:divBdr>
                                                                        </w:div>
                                                                        <w:div w:id="784152249">
                                                                          <w:marLeft w:val="-15"/>
                                                                          <w:marRight w:val="0"/>
                                                                          <w:marTop w:val="0"/>
                                                                          <w:marBottom w:val="0"/>
                                                                          <w:divBdr>
                                                                            <w:top w:val="none" w:sz="0" w:space="0" w:color="auto"/>
                                                                            <w:left w:val="none" w:sz="0" w:space="0" w:color="auto"/>
                                                                            <w:bottom w:val="none" w:sz="0" w:space="0" w:color="auto"/>
                                                                            <w:right w:val="none" w:sz="0" w:space="0" w:color="auto"/>
                                                                          </w:divBdr>
                                                                        </w:div>
                                                                        <w:div w:id="788738708">
                                                                          <w:marLeft w:val="-15"/>
                                                                          <w:marRight w:val="0"/>
                                                                          <w:marTop w:val="0"/>
                                                                          <w:marBottom w:val="0"/>
                                                                          <w:divBdr>
                                                                            <w:top w:val="none" w:sz="0" w:space="0" w:color="auto"/>
                                                                            <w:left w:val="none" w:sz="0" w:space="0" w:color="auto"/>
                                                                            <w:bottom w:val="none" w:sz="0" w:space="0" w:color="auto"/>
                                                                            <w:right w:val="none" w:sz="0" w:space="0" w:color="auto"/>
                                                                          </w:divBdr>
                                                                        </w:div>
                                                                        <w:div w:id="905721497">
                                                                          <w:marLeft w:val="8070"/>
                                                                          <w:marRight w:val="0"/>
                                                                          <w:marTop w:val="0"/>
                                                                          <w:marBottom w:val="0"/>
                                                                          <w:divBdr>
                                                                            <w:top w:val="none" w:sz="0" w:space="0" w:color="auto"/>
                                                                            <w:left w:val="none" w:sz="0" w:space="0" w:color="auto"/>
                                                                            <w:bottom w:val="none" w:sz="0" w:space="0" w:color="auto"/>
                                                                            <w:right w:val="none" w:sz="0" w:space="0" w:color="auto"/>
                                                                          </w:divBdr>
                                                                        </w:div>
                                                                        <w:div w:id="1119255301">
                                                                          <w:marLeft w:val="-15"/>
                                                                          <w:marRight w:val="0"/>
                                                                          <w:marTop w:val="0"/>
                                                                          <w:marBottom w:val="0"/>
                                                                          <w:divBdr>
                                                                            <w:top w:val="none" w:sz="0" w:space="0" w:color="auto"/>
                                                                            <w:left w:val="none" w:sz="0" w:space="0" w:color="auto"/>
                                                                            <w:bottom w:val="none" w:sz="0" w:space="0" w:color="auto"/>
                                                                            <w:right w:val="none" w:sz="0" w:space="0" w:color="auto"/>
                                                                          </w:divBdr>
                                                                        </w:div>
                                                                        <w:div w:id="1359433032">
                                                                          <w:marLeft w:val="0"/>
                                                                          <w:marRight w:val="0"/>
                                                                          <w:marTop w:val="0"/>
                                                                          <w:marBottom w:val="0"/>
                                                                          <w:divBdr>
                                                                            <w:top w:val="none" w:sz="0" w:space="0" w:color="auto"/>
                                                                            <w:left w:val="none" w:sz="0" w:space="0" w:color="auto"/>
                                                                            <w:bottom w:val="none" w:sz="0" w:space="0" w:color="auto"/>
                                                                            <w:right w:val="none" w:sz="0" w:space="0" w:color="auto"/>
                                                                          </w:divBdr>
                                                                        </w:div>
                                                                        <w:div w:id="1491016500">
                                                                          <w:marLeft w:val="0"/>
                                                                          <w:marRight w:val="0"/>
                                                                          <w:marTop w:val="0"/>
                                                                          <w:marBottom w:val="0"/>
                                                                          <w:divBdr>
                                                                            <w:top w:val="none" w:sz="0" w:space="0" w:color="auto"/>
                                                                            <w:left w:val="none" w:sz="0" w:space="0" w:color="auto"/>
                                                                            <w:bottom w:val="none" w:sz="0" w:space="0" w:color="auto"/>
                                                                            <w:right w:val="none" w:sz="0" w:space="0" w:color="auto"/>
                                                                          </w:divBdr>
                                                                        </w:div>
                                                                        <w:div w:id="1626152883">
                                                                          <w:marLeft w:val="0"/>
                                                                          <w:marRight w:val="0"/>
                                                                          <w:marTop w:val="0"/>
                                                                          <w:marBottom w:val="0"/>
                                                                          <w:divBdr>
                                                                            <w:top w:val="none" w:sz="0" w:space="0" w:color="auto"/>
                                                                            <w:left w:val="none" w:sz="0" w:space="0" w:color="auto"/>
                                                                            <w:bottom w:val="none" w:sz="0" w:space="0" w:color="auto"/>
                                                                            <w:right w:val="none" w:sz="0" w:space="0" w:color="auto"/>
                                                                          </w:divBdr>
                                                                        </w:div>
                                                                        <w:div w:id="1715303316">
                                                                          <w:marLeft w:val="-15"/>
                                                                          <w:marRight w:val="0"/>
                                                                          <w:marTop w:val="0"/>
                                                                          <w:marBottom w:val="0"/>
                                                                          <w:divBdr>
                                                                            <w:top w:val="none" w:sz="0" w:space="0" w:color="auto"/>
                                                                            <w:left w:val="none" w:sz="0" w:space="0" w:color="auto"/>
                                                                            <w:bottom w:val="none" w:sz="0" w:space="0" w:color="auto"/>
                                                                            <w:right w:val="none" w:sz="0" w:space="0" w:color="auto"/>
                                                                          </w:divBdr>
                                                                        </w:div>
                                                                        <w:div w:id="1824158861">
                                                                          <w:marLeft w:val="-15"/>
                                                                          <w:marRight w:val="0"/>
                                                                          <w:marTop w:val="0"/>
                                                                          <w:marBottom w:val="0"/>
                                                                          <w:divBdr>
                                                                            <w:top w:val="none" w:sz="0" w:space="0" w:color="auto"/>
                                                                            <w:left w:val="none" w:sz="0" w:space="0" w:color="auto"/>
                                                                            <w:bottom w:val="none" w:sz="0" w:space="0" w:color="auto"/>
                                                                            <w:right w:val="none" w:sz="0" w:space="0" w:color="auto"/>
                                                                          </w:divBdr>
                                                                        </w:div>
                                                                        <w:div w:id="1825656038">
                                                                          <w:marLeft w:val="-15"/>
                                                                          <w:marRight w:val="0"/>
                                                                          <w:marTop w:val="0"/>
                                                                          <w:marBottom w:val="0"/>
                                                                          <w:divBdr>
                                                                            <w:top w:val="none" w:sz="0" w:space="0" w:color="auto"/>
                                                                            <w:left w:val="none" w:sz="0" w:space="0" w:color="auto"/>
                                                                            <w:bottom w:val="none" w:sz="0" w:space="0" w:color="auto"/>
                                                                            <w:right w:val="none" w:sz="0" w:space="0" w:color="auto"/>
                                                                          </w:divBdr>
                                                                        </w:div>
                                                                        <w:div w:id="1935430055">
                                                                          <w:marLeft w:val="0"/>
                                                                          <w:marRight w:val="0"/>
                                                                          <w:marTop w:val="0"/>
                                                                          <w:marBottom w:val="0"/>
                                                                          <w:divBdr>
                                                                            <w:top w:val="none" w:sz="0" w:space="0" w:color="auto"/>
                                                                            <w:left w:val="none" w:sz="0" w:space="0" w:color="auto"/>
                                                                            <w:bottom w:val="none" w:sz="0" w:space="0" w:color="auto"/>
                                                                            <w:right w:val="none" w:sz="0" w:space="0" w:color="auto"/>
                                                                          </w:divBdr>
                                                                        </w:div>
                                                                        <w:div w:id="209932429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497536">
      <w:bodyDiv w:val="1"/>
      <w:marLeft w:val="0"/>
      <w:marRight w:val="0"/>
      <w:marTop w:val="0"/>
      <w:marBottom w:val="0"/>
      <w:divBdr>
        <w:top w:val="none" w:sz="0" w:space="0" w:color="auto"/>
        <w:left w:val="none" w:sz="0" w:space="0" w:color="auto"/>
        <w:bottom w:val="none" w:sz="0" w:space="0" w:color="auto"/>
        <w:right w:val="none" w:sz="0" w:space="0" w:color="auto"/>
      </w:divBdr>
    </w:div>
    <w:div w:id="706757111">
      <w:bodyDiv w:val="1"/>
      <w:marLeft w:val="0"/>
      <w:marRight w:val="0"/>
      <w:marTop w:val="0"/>
      <w:marBottom w:val="0"/>
      <w:divBdr>
        <w:top w:val="none" w:sz="0" w:space="0" w:color="auto"/>
        <w:left w:val="none" w:sz="0" w:space="0" w:color="auto"/>
        <w:bottom w:val="none" w:sz="0" w:space="0" w:color="auto"/>
        <w:right w:val="none" w:sz="0" w:space="0" w:color="auto"/>
      </w:divBdr>
      <w:divsChild>
        <w:div w:id="1996445373">
          <w:marLeft w:val="0"/>
          <w:marRight w:val="0"/>
          <w:marTop w:val="0"/>
          <w:marBottom w:val="0"/>
          <w:divBdr>
            <w:top w:val="none" w:sz="0" w:space="0" w:color="auto"/>
            <w:left w:val="none" w:sz="0" w:space="0" w:color="auto"/>
            <w:bottom w:val="none" w:sz="0" w:space="0" w:color="auto"/>
            <w:right w:val="none" w:sz="0" w:space="0" w:color="auto"/>
          </w:divBdr>
          <w:divsChild>
            <w:div w:id="1751150800">
              <w:marLeft w:val="0"/>
              <w:marRight w:val="0"/>
              <w:marTop w:val="0"/>
              <w:marBottom w:val="0"/>
              <w:divBdr>
                <w:top w:val="none" w:sz="0" w:space="0" w:color="auto"/>
                <w:left w:val="none" w:sz="0" w:space="0" w:color="auto"/>
                <w:bottom w:val="none" w:sz="0" w:space="0" w:color="auto"/>
                <w:right w:val="none" w:sz="0" w:space="0" w:color="auto"/>
              </w:divBdr>
              <w:divsChild>
                <w:div w:id="1870029203">
                  <w:marLeft w:val="0"/>
                  <w:marRight w:val="0"/>
                  <w:marTop w:val="100"/>
                  <w:marBottom w:val="100"/>
                  <w:divBdr>
                    <w:top w:val="none" w:sz="0" w:space="0" w:color="auto"/>
                    <w:left w:val="none" w:sz="0" w:space="0" w:color="auto"/>
                    <w:bottom w:val="none" w:sz="0" w:space="0" w:color="auto"/>
                    <w:right w:val="none" w:sz="0" w:space="0" w:color="auto"/>
                  </w:divBdr>
                  <w:divsChild>
                    <w:div w:id="1705868069">
                      <w:marLeft w:val="0"/>
                      <w:marRight w:val="0"/>
                      <w:marTop w:val="0"/>
                      <w:marBottom w:val="0"/>
                      <w:divBdr>
                        <w:top w:val="none" w:sz="0" w:space="0" w:color="auto"/>
                        <w:left w:val="none" w:sz="0" w:space="0" w:color="auto"/>
                        <w:bottom w:val="none" w:sz="0" w:space="0" w:color="auto"/>
                        <w:right w:val="none" w:sz="0" w:space="0" w:color="auto"/>
                      </w:divBdr>
                      <w:divsChild>
                        <w:div w:id="522087884">
                          <w:marLeft w:val="0"/>
                          <w:marRight w:val="0"/>
                          <w:marTop w:val="0"/>
                          <w:marBottom w:val="0"/>
                          <w:divBdr>
                            <w:top w:val="none" w:sz="0" w:space="0" w:color="auto"/>
                            <w:left w:val="none" w:sz="0" w:space="0" w:color="auto"/>
                            <w:bottom w:val="none" w:sz="0" w:space="0" w:color="auto"/>
                            <w:right w:val="none" w:sz="0" w:space="0" w:color="auto"/>
                          </w:divBdr>
                          <w:divsChild>
                            <w:div w:id="436754859">
                              <w:marLeft w:val="0"/>
                              <w:marRight w:val="0"/>
                              <w:marTop w:val="0"/>
                              <w:marBottom w:val="0"/>
                              <w:divBdr>
                                <w:top w:val="none" w:sz="0" w:space="0" w:color="auto"/>
                                <w:left w:val="none" w:sz="0" w:space="0" w:color="auto"/>
                                <w:bottom w:val="none" w:sz="0" w:space="0" w:color="auto"/>
                                <w:right w:val="none" w:sz="0" w:space="0" w:color="auto"/>
                              </w:divBdr>
                              <w:divsChild>
                                <w:div w:id="1981379726">
                                  <w:marLeft w:val="0"/>
                                  <w:marRight w:val="0"/>
                                  <w:marTop w:val="0"/>
                                  <w:marBottom w:val="0"/>
                                  <w:divBdr>
                                    <w:top w:val="none" w:sz="0" w:space="0" w:color="auto"/>
                                    <w:left w:val="none" w:sz="0" w:space="0" w:color="auto"/>
                                    <w:bottom w:val="none" w:sz="0" w:space="0" w:color="auto"/>
                                    <w:right w:val="none" w:sz="0" w:space="0" w:color="auto"/>
                                  </w:divBdr>
                                  <w:divsChild>
                                    <w:div w:id="782848546">
                                      <w:marLeft w:val="0"/>
                                      <w:marRight w:val="0"/>
                                      <w:marTop w:val="0"/>
                                      <w:marBottom w:val="0"/>
                                      <w:divBdr>
                                        <w:top w:val="none" w:sz="0" w:space="0" w:color="auto"/>
                                        <w:left w:val="none" w:sz="0" w:space="0" w:color="auto"/>
                                        <w:bottom w:val="none" w:sz="0" w:space="0" w:color="auto"/>
                                        <w:right w:val="none" w:sz="0" w:space="0" w:color="auto"/>
                                      </w:divBdr>
                                      <w:divsChild>
                                        <w:div w:id="916137327">
                                          <w:marLeft w:val="0"/>
                                          <w:marRight w:val="0"/>
                                          <w:marTop w:val="0"/>
                                          <w:marBottom w:val="0"/>
                                          <w:divBdr>
                                            <w:top w:val="none" w:sz="0" w:space="0" w:color="auto"/>
                                            <w:left w:val="none" w:sz="0" w:space="0" w:color="auto"/>
                                            <w:bottom w:val="none" w:sz="0" w:space="0" w:color="auto"/>
                                            <w:right w:val="none" w:sz="0" w:space="0" w:color="auto"/>
                                          </w:divBdr>
                                          <w:divsChild>
                                            <w:div w:id="2101295770">
                                              <w:marLeft w:val="0"/>
                                              <w:marRight w:val="0"/>
                                              <w:marTop w:val="0"/>
                                              <w:marBottom w:val="0"/>
                                              <w:divBdr>
                                                <w:top w:val="none" w:sz="0" w:space="0" w:color="auto"/>
                                                <w:left w:val="none" w:sz="0" w:space="0" w:color="auto"/>
                                                <w:bottom w:val="none" w:sz="0" w:space="0" w:color="auto"/>
                                                <w:right w:val="none" w:sz="0" w:space="0" w:color="auto"/>
                                              </w:divBdr>
                                              <w:divsChild>
                                                <w:div w:id="374281908">
                                                  <w:marLeft w:val="0"/>
                                                  <w:marRight w:val="300"/>
                                                  <w:marTop w:val="0"/>
                                                  <w:marBottom w:val="0"/>
                                                  <w:divBdr>
                                                    <w:top w:val="none" w:sz="0" w:space="0" w:color="auto"/>
                                                    <w:left w:val="none" w:sz="0" w:space="0" w:color="auto"/>
                                                    <w:bottom w:val="none" w:sz="0" w:space="0" w:color="auto"/>
                                                    <w:right w:val="none" w:sz="0" w:space="0" w:color="auto"/>
                                                  </w:divBdr>
                                                  <w:divsChild>
                                                    <w:div w:id="1319454906">
                                                      <w:marLeft w:val="0"/>
                                                      <w:marRight w:val="0"/>
                                                      <w:marTop w:val="0"/>
                                                      <w:marBottom w:val="0"/>
                                                      <w:divBdr>
                                                        <w:top w:val="none" w:sz="0" w:space="0" w:color="auto"/>
                                                        <w:left w:val="none" w:sz="0" w:space="0" w:color="auto"/>
                                                        <w:bottom w:val="none" w:sz="0" w:space="0" w:color="auto"/>
                                                        <w:right w:val="none" w:sz="0" w:space="0" w:color="auto"/>
                                                      </w:divBdr>
                                                      <w:divsChild>
                                                        <w:div w:id="1484810583">
                                                          <w:marLeft w:val="0"/>
                                                          <w:marRight w:val="0"/>
                                                          <w:marTop w:val="0"/>
                                                          <w:marBottom w:val="300"/>
                                                          <w:divBdr>
                                                            <w:top w:val="single" w:sz="6" w:space="0" w:color="CCCCCC"/>
                                                            <w:left w:val="none" w:sz="0" w:space="0" w:color="auto"/>
                                                            <w:bottom w:val="none" w:sz="0" w:space="0" w:color="auto"/>
                                                            <w:right w:val="none" w:sz="0" w:space="0" w:color="auto"/>
                                                          </w:divBdr>
                                                          <w:divsChild>
                                                            <w:div w:id="387144502">
                                                              <w:marLeft w:val="0"/>
                                                              <w:marRight w:val="0"/>
                                                              <w:marTop w:val="0"/>
                                                              <w:marBottom w:val="0"/>
                                                              <w:divBdr>
                                                                <w:top w:val="none" w:sz="0" w:space="0" w:color="auto"/>
                                                                <w:left w:val="none" w:sz="0" w:space="0" w:color="auto"/>
                                                                <w:bottom w:val="none" w:sz="0" w:space="0" w:color="auto"/>
                                                                <w:right w:val="none" w:sz="0" w:space="0" w:color="auto"/>
                                                              </w:divBdr>
                                                              <w:divsChild>
                                                                <w:div w:id="1443303816">
                                                                  <w:marLeft w:val="0"/>
                                                                  <w:marRight w:val="0"/>
                                                                  <w:marTop w:val="0"/>
                                                                  <w:marBottom w:val="0"/>
                                                                  <w:divBdr>
                                                                    <w:top w:val="none" w:sz="0" w:space="0" w:color="auto"/>
                                                                    <w:left w:val="none" w:sz="0" w:space="0" w:color="auto"/>
                                                                    <w:bottom w:val="none" w:sz="0" w:space="0" w:color="auto"/>
                                                                    <w:right w:val="none" w:sz="0" w:space="0" w:color="auto"/>
                                                                  </w:divBdr>
                                                                  <w:divsChild>
                                                                    <w:div w:id="2031488627">
                                                                      <w:marLeft w:val="0"/>
                                                                      <w:marRight w:val="0"/>
                                                                      <w:marTop w:val="0"/>
                                                                      <w:marBottom w:val="0"/>
                                                                      <w:divBdr>
                                                                        <w:top w:val="none" w:sz="0" w:space="0" w:color="auto"/>
                                                                        <w:left w:val="none" w:sz="0" w:space="0" w:color="auto"/>
                                                                        <w:bottom w:val="none" w:sz="0" w:space="0" w:color="auto"/>
                                                                        <w:right w:val="none" w:sz="0" w:space="0" w:color="auto"/>
                                                                      </w:divBdr>
                                                                      <w:divsChild>
                                                                        <w:div w:id="16512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2355727">
      <w:bodyDiv w:val="1"/>
      <w:marLeft w:val="0"/>
      <w:marRight w:val="0"/>
      <w:marTop w:val="0"/>
      <w:marBottom w:val="0"/>
      <w:divBdr>
        <w:top w:val="none" w:sz="0" w:space="0" w:color="auto"/>
        <w:left w:val="none" w:sz="0" w:space="0" w:color="auto"/>
        <w:bottom w:val="none" w:sz="0" w:space="0" w:color="auto"/>
        <w:right w:val="none" w:sz="0" w:space="0" w:color="auto"/>
      </w:divBdr>
    </w:div>
    <w:div w:id="835653263">
      <w:bodyDiv w:val="1"/>
      <w:marLeft w:val="0"/>
      <w:marRight w:val="0"/>
      <w:marTop w:val="0"/>
      <w:marBottom w:val="0"/>
      <w:divBdr>
        <w:top w:val="none" w:sz="0" w:space="0" w:color="auto"/>
        <w:left w:val="none" w:sz="0" w:space="0" w:color="auto"/>
        <w:bottom w:val="none" w:sz="0" w:space="0" w:color="auto"/>
        <w:right w:val="none" w:sz="0" w:space="0" w:color="auto"/>
      </w:divBdr>
    </w:div>
    <w:div w:id="856773643">
      <w:bodyDiv w:val="1"/>
      <w:marLeft w:val="0"/>
      <w:marRight w:val="0"/>
      <w:marTop w:val="0"/>
      <w:marBottom w:val="0"/>
      <w:divBdr>
        <w:top w:val="none" w:sz="0" w:space="0" w:color="auto"/>
        <w:left w:val="none" w:sz="0" w:space="0" w:color="auto"/>
        <w:bottom w:val="none" w:sz="0" w:space="0" w:color="auto"/>
        <w:right w:val="none" w:sz="0" w:space="0" w:color="auto"/>
      </w:divBdr>
      <w:divsChild>
        <w:div w:id="270280661">
          <w:marLeft w:val="0"/>
          <w:marRight w:val="0"/>
          <w:marTop w:val="0"/>
          <w:marBottom w:val="0"/>
          <w:divBdr>
            <w:top w:val="none" w:sz="0" w:space="0" w:color="auto"/>
            <w:left w:val="none" w:sz="0" w:space="0" w:color="auto"/>
            <w:bottom w:val="none" w:sz="0" w:space="0" w:color="auto"/>
            <w:right w:val="none" w:sz="0" w:space="0" w:color="auto"/>
          </w:divBdr>
          <w:divsChild>
            <w:div w:id="333338921">
              <w:marLeft w:val="0"/>
              <w:marRight w:val="0"/>
              <w:marTop w:val="0"/>
              <w:marBottom w:val="0"/>
              <w:divBdr>
                <w:top w:val="none" w:sz="0" w:space="0" w:color="auto"/>
                <w:left w:val="none" w:sz="0" w:space="0" w:color="auto"/>
                <w:bottom w:val="none" w:sz="0" w:space="0" w:color="auto"/>
                <w:right w:val="none" w:sz="0" w:space="0" w:color="auto"/>
              </w:divBdr>
              <w:divsChild>
                <w:div w:id="1161390568">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624967">
      <w:bodyDiv w:val="1"/>
      <w:marLeft w:val="0"/>
      <w:marRight w:val="0"/>
      <w:marTop w:val="0"/>
      <w:marBottom w:val="0"/>
      <w:divBdr>
        <w:top w:val="none" w:sz="0" w:space="0" w:color="auto"/>
        <w:left w:val="none" w:sz="0" w:space="0" w:color="auto"/>
        <w:bottom w:val="none" w:sz="0" w:space="0" w:color="auto"/>
        <w:right w:val="none" w:sz="0" w:space="0" w:color="auto"/>
      </w:divBdr>
    </w:div>
    <w:div w:id="908150293">
      <w:bodyDiv w:val="1"/>
      <w:marLeft w:val="0"/>
      <w:marRight w:val="0"/>
      <w:marTop w:val="0"/>
      <w:marBottom w:val="0"/>
      <w:divBdr>
        <w:top w:val="none" w:sz="0" w:space="0" w:color="auto"/>
        <w:left w:val="none" w:sz="0" w:space="0" w:color="auto"/>
        <w:bottom w:val="none" w:sz="0" w:space="0" w:color="auto"/>
        <w:right w:val="none" w:sz="0" w:space="0" w:color="auto"/>
      </w:divBdr>
    </w:div>
    <w:div w:id="967466286">
      <w:bodyDiv w:val="1"/>
      <w:marLeft w:val="0"/>
      <w:marRight w:val="0"/>
      <w:marTop w:val="0"/>
      <w:marBottom w:val="0"/>
      <w:divBdr>
        <w:top w:val="none" w:sz="0" w:space="0" w:color="auto"/>
        <w:left w:val="none" w:sz="0" w:space="0" w:color="auto"/>
        <w:bottom w:val="none" w:sz="0" w:space="0" w:color="auto"/>
        <w:right w:val="none" w:sz="0" w:space="0" w:color="auto"/>
      </w:divBdr>
    </w:div>
    <w:div w:id="1186672104">
      <w:bodyDiv w:val="1"/>
      <w:marLeft w:val="0"/>
      <w:marRight w:val="0"/>
      <w:marTop w:val="0"/>
      <w:marBottom w:val="0"/>
      <w:divBdr>
        <w:top w:val="none" w:sz="0" w:space="0" w:color="auto"/>
        <w:left w:val="none" w:sz="0" w:space="0" w:color="auto"/>
        <w:bottom w:val="none" w:sz="0" w:space="0" w:color="auto"/>
        <w:right w:val="none" w:sz="0" w:space="0" w:color="auto"/>
      </w:divBdr>
    </w:div>
    <w:div w:id="1308315473">
      <w:bodyDiv w:val="1"/>
      <w:marLeft w:val="0"/>
      <w:marRight w:val="0"/>
      <w:marTop w:val="0"/>
      <w:marBottom w:val="0"/>
      <w:divBdr>
        <w:top w:val="none" w:sz="0" w:space="0" w:color="auto"/>
        <w:left w:val="none" w:sz="0" w:space="0" w:color="auto"/>
        <w:bottom w:val="none" w:sz="0" w:space="0" w:color="auto"/>
        <w:right w:val="none" w:sz="0" w:space="0" w:color="auto"/>
      </w:divBdr>
    </w:div>
    <w:div w:id="1336570790">
      <w:bodyDiv w:val="1"/>
      <w:marLeft w:val="0"/>
      <w:marRight w:val="0"/>
      <w:marTop w:val="0"/>
      <w:marBottom w:val="0"/>
      <w:divBdr>
        <w:top w:val="none" w:sz="0" w:space="0" w:color="auto"/>
        <w:left w:val="none" w:sz="0" w:space="0" w:color="auto"/>
        <w:bottom w:val="none" w:sz="0" w:space="0" w:color="auto"/>
        <w:right w:val="none" w:sz="0" w:space="0" w:color="auto"/>
      </w:divBdr>
    </w:div>
    <w:div w:id="1498837475">
      <w:bodyDiv w:val="1"/>
      <w:marLeft w:val="0"/>
      <w:marRight w:val="0"/>
      <w:marTop w:val="0"/>
      <w:marBottom w:val="0"/>
      <w:divBdr>
        <w:top w:val="none" w:sz="0" w:space="0" w:color="auto"/>
        <w:left w:val="none" w:sz="0" w:space="0" w:color="auto"/>
        <w:bottom w:val="none" w:sz="0" w:space="0" w:color="auto"/>
        <w:right w:val="none" w:sz="0" w:space="0" w:color="auto"/>
      </w:divBdr>
      <w:divsChild>
        <w:div w:id="1093014929">
          <w:marLeft w:val="0"/>
          <w:marRight w:val="0"/>
          <w:marTop w:val="0"/>
          <w:marBottom w:val="0"/>
          <w:divBdr>
            <w:top w:val="none" w:sz="0" w:space="0" w:color="auto"/>
            <w:left w:val="none" w:sz="0" w:space="0" w:color="auto"/>
            <w:bottom w:val="none" w:sz="0" w:space="0" w:color="auto"/>
            <w:right w:val="none" w:sz="0" w:space="0" w:color="auto"/>
          </w:divBdr>
          <w:divsChild>
            <w:div w:id="666324736">
              <w:marLeft w:val="0"/>
              <w:marRight w:val="0"/>
              <w:marTop w:val="0"/>
              <w:marBottom w:val="0"/>
              <w:divBdr>
                <w:top w:val="none" w:sz="0" w:space="0" w:color="auto"/>
                <w:left w:val="none" w:sz="0" w:space="0" w:color="auto"/>
                <w:bottom w:val="none" w:sz="0" w:space="0" w:color="auto"/>
                <w:right w:val="none" w:sz="0" w:space="0" w:color="auto"/>
              </w:divBdr>
              <w:divsChild>
                <w:div w:id="1053578444">
                  <w:marLeft w:val="0"/>
                  <w:marRight w:val="0"/>
                  <w:marTop w:val="100"/>
                  <w:marBottom w:val="100"/>
                  <w:divBdr>
                    <w:top w:val="none" w:sz="0" w:space="0" w:color="auto"/>
                    <w:left w:val="none" w:sz="0" w:space="0" w:color="auto"/>
                    <w:bottom w:val="none" w:sz="0" w:space="0" w:color="auto"/>
                    <w:right w:val="none" w:sz="0" w:space="0" w:color="auto"/>
                  </w:divBdr>
                  <w:divsChild>
                    <w:div w:id="1741948740">
                      <w:marLeft w:val="0"/>
                      <w:marRight w:val="0"/>
                      <w:marTop w:val="0"/>
                      <w:marBottom w:val="0"/>
                      <w:divBdr>
                        <w:top w:val="none" w:sz="0" w:space="0" w:color="auto"/>
                        <w:left w:val="none" w:sz="0" w:space="0" w:color="auto"/>
                        <w:bottom w:val="none" w:sz="0" w:space="0" w:color="auto"/>
                        <w:right w:val="none" w:sz="0" w:space="0" w:color="auto"/>
                      </w:divBdr>
                      <w:divsChild>
                        <w:div w:id="978072012">
                          <w:marLeft w:val="0"/>
                          <w:marRight w:val="0"/>
                          <w:marTop w:val="0"/>
                          <w:marBottom w:val="0"/>
                          <w:divBdr>
                            <w:top w:val="none" w:sz="0" w:space="0" w:color="auto"/>
                            <w:left w:val="none" w:sz="0" w:space="0" w:color="auto"/>
                            <w:bottom w:val="none" w:sz="0" w:space="0" w:color="auto"/>
                            <w:right w:val="none" w:sz="0" w:space="0" w:color="auto"/>
                          </w:divBdr>
                          <w:divsChild>
                            <w:div w:id="1643653908">
                              <w:marLeft w:val="0"/>
                              <w:marRight w:val="0"/>
                              <w:marTop w:val="0"/>
                              <w:marBottom w:val="0"/>
                              <w:divBdr>
                                <w:top w:val="none" w:sz="0" w:space="0" w:color="auto"/>
                                <w:left w:val="none" w:sz="0" w:space="0" w:color="auto"/>
                                <w:bottom w:val="none" w:sz="0" w:space="0" w:color="auto"/>
                                <w:right w:val="none" w:sz="0" w:space="0" w:color="auto"/>
                              </w:divBdr>
                              <w:divsChild>
                                <w:div w:id="419715197">
                                  <w:marLeft w:val="0"/>
                                  <w:marRight w:val="0"/>
                                  <w:marTop w:val="0"/>
                                  <w:marBottom w:val="0"/>
                                  <w:divBdr>
                                    <w:top w:val="none" w:sz="0" w:space="0" w:color="auto"/>
                                    <w:left w:val="none" w:sz="0" w:space="0" w:color="auto"/>
                                    <w:bottom w:val="none" w:sz="0" w:space="0" w:color="auto"/>
                                    <w:right w:val="none" w:sz="0" w:space="0" w:color="auto"/>
                                  </w:divBdr>
                                  <w:divsChild>
                                    <w:div w:id="525606027">
                                      <w:marLeft w:val="0"/>
                                      <w:marRight w:val="0"/>
                                      <w:marTop w:val="0"/>
                                      <w:marBottom w:val="0"/>
                                      <w:divBdr>
                                        <w:top w:val="none" w:sz="0" w:space="0" w:color="auto"/>
                                        <w:left w:val="none" w:sz="0" w:space="0" w:color="auto"/>
                                        <w:bottom w:val="none" w:sz="0" w:space="0" w:color="auto"/>
                                        <w:right w:val="none" w:sz="0" w:space="0" w:color="auto"/>
                                      </w:divBdr>
                                      <w:divsChild>
                                        <w:div w:id="57674597">
                                          <w:marLeft w:val="0"/>
                                          <w:marRight w:val="0"/>
                                          <w:marTop w:val="0"/>
                                          <w:marBottom w:val="0"/>
                                          <w:divBdr>
                                            <w:top w:val="none" w:sz="0" w:space="0" w:color="auto"/>
                                            <w:left w:val="none" w:sz="0" w:space="0" w:color="auto"/>
                                            <w:bottom w:val="none" w:sz="0" w:space="0" w:color="auto"/>
                                            <w:right w:val="none" w:sz="0" w:space="0" w:color="auto"/>
                                          </w:divBdr>
                                          <w:divsChild>
                                            <w:div w:id="1329402194">
                                              <w:marLeft w:val="0"/>
                                              <w:marRight w:val="0"/>
                                              <w:marTop w:val="0"/>
                                              <w:marBottom w:val="0"/>
                                              <w:divBdr>
                                                <w:top w:val="none" w:sz="0" w:space="0" w:color="auto"/>
                                                <w:left w:val="none" w:sz="0" w:space="0" w:color="auto"/>
                                                <w:bottom w:val="none" w:sz="0" w:space="0" w:color="auto"/>
                                                <w:right w:val="none" w:sz="0" w:space="0" w:color="auto"/>
                                              </w:divBdr>
                                              <w:divsChild>
                                                <w:div w:id="814688121">
                                                  <w:marLeft w:val="0"/>
                                                  <w:marRight w:val="300"/>
                                                  <w:marTop w:val="0"/>
                                                  <w:marBottom w:val="0"/>
                                                  <w:divBdr>
                                                    <w:top w:val="none" w:sz="0" w:space="0" w:color="auto"/>
                                                    <w:left w:val="none" w:sz="0" w:space="0" w:color="auto"/>
                                                    <w:bottom w:val="none" w:sz="0" w:space="0" w:color="auto"/>
                                                    <w:right w:val="none" w:sz="0" w:space="0" w:color="auto"/>
                                                  </w:divBdr>
                                                  <w:divsChild>
                                                    <w:div w:id="1947694943">
                                                      <w:marLeft w:val="0"/>
                                                      <w:marRight w:val="0"/>
                                                      <w:marTop w:val="0"/>
                                                      <w:marBottom w:val="0"/>
                                                      <w:divBdr>
                                                        <w:top w:val="none" w:sz="0" w:space="0" w:color="auto"/>
                                                        <w:left w:val="none" w:sz="0" w:space="0" w:color="auto"/>
                                                        <w:bottom w:val="none" w:sz="0" w:space="0" w:color="auto"/>
                                                        <w:right w:val="none" w:sz="0" w:space="0" w:color="auto"/>
                                                      </w:divBdr>
                                                      <w:divsChild>
                                                        <w:div w:id="48186159">
                                                          <w:marLeft w:val="0"/>
                                                          <w:marRight w:val="0"/>
                                                          <w:marTop w:val="0"/>
                                                          <w:marBottom w:val="300"/>
                                                          <w:divBdr>
                                                            <w:top w:val="single" w:sz="6" w:space="0" w:color="CCCCCC"/>
                                                            <w:left w:val="none" w:sz="0" w:space="0" w:color="auto"/>
                                                            <w:bottom w:val="none" w:sz="0" w:space="0" w:color="auto"/>
                                                            <w:right w:val="none" w:sz="0" w:space="0" w:color="auto"/>
                                                          </w:divBdr>
                                                          <w:divsChild>
                                                            <w:div w:id="888877146">
                                                              <w:marLeft w:val="0"/>
                                                              <w:marRight w:val="0"/>
                                                              <w:marTop w:val="0"/>
                                                              <w:marBottom w:val="0"/>
                                                              <w:divBdr>
                                                                <w:top w:val="none" w:sz="0" w:space="0" w:color="auto"/>
                                                                <w:left w:val="none" w:sz="0" w:space="0" w:color="auto"/>
                                                                <w:bottom w:val="none" w:sz="0" w:space="0" w:color="auto"/>
                                                                <w:right w:val="none" w:sz="0" w:space="0" w:color="auto"/>
                                                              </w:divBdr>
                                                              <w:divsChild>
                                                                <w:div w:id="1026443854">
                                                                  <w:marLeft w:val="0"/>
                                                                  <w:marRight w:val="0"/>
                                                                  <w:marTop w:val="0"/>
                                                                  <w:marBottom w:val="0"/>
                                                                  <w:divBdr>
                                                                    <w:top w:val="none" w:sz="0" w:space="0" w:color="auto"/>
                                                                    <w:left w:val="none" w:sz="0" w:space="0" w:color="auto"/>
                                                                    <w:bottom w:val="none" w:sz="0" w:space="0" w:color="auto"/>
                                                                    <w:right w:val="none" w:sz="0" w:space="0" w:color="auto"/>
                                                                  </w:divBdr>
                                                                  <w:divsChild>
                                                                    <w:div w:id="2143375524">
                                                                      <w:marLeft w:val="0"/>
                                                                      <w:marRight w:val="0"/>
                                                                      <w:marTop w:val="0"/>
                                                                      <w:marBottom w:val="0"/>
                                                                      <w:divBdr>
                                                                        <w:top w:val="none" w:sz="0" w:space="0" w:color="auto"/>
                                                                        <w:left w:val="none" w:sz="0" w:space="0" w:color="auto"/>
                                                                        <w:bottom w:val="none" w:sz="0" w:space="0" w:color="auto"/>
                                                                        <w:right w:val="none" w:sz="0" w:space="0" w:color="auto"/>
                                                                      </w:divBdr>
                                                                      <w:divsChild>
                                                                        <w:div w:id="862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2422837">
      <w:bodyDiv w:val="1"/>
      <w:marLeft w:val="0"/>
      <w:marRight w:val="0"/>
      <w:marTop w:val="0"/>
      <w:marBottom w:val="0"/>
      <w:divBdr>
        <w:top w:val="none" w:sz="0" w:space="0" w:color="auto"/>
        <w:left w:val="none" w:sz="0" w:space="0" w:color="auto"/>
        <w:bottom w:val="none" w:sz="0" w:space="0" w:color="auto"/>
        <w:right w:val="none" w:sz="0" w:space="0" w:color="auto"/>
      </w:divBdr>
    </w:div>
    <w:div w:id="1593247454">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629628495">
      <w:bodyDiv w:val="1"/>
      <w:marLeft w:val="0"/>
      <w:marRight w:val="0"/>
      <w:marTop w:val="0"/>
      <w:marBottom w:val="0"/>
      <w:divBdr>
        <w:top w:val="none" w:sz="0" w:space="0" w:color="auto"/>
        <w:left w:val="none" w:sz="0" w:space="0" w:color="auto"/>
        <w:bottom w:val="none" w:sz="0" w:space="0" w:color="auto"/>
        <w:right w:val="none" w:sz="0" w:space="0" w:color="auto"/>
      </w:divBdr>
    </w:div>
    <w:div w:id="1774662371">
      <w:bodyDiv w:val="1"/>
      <w:marLeft w:val="0"/>
      <w:marRight w:val="0"/>
      <w:marTop w:val="0"/>
      <w:marBottom w:val="0"/>
      <w:divBdr>
        <w:top w:val="none" w:sz="0" w:space="0" w:color="auto"/>
        <w:left w:val="none" w:sz="0" w:space="0" w:color="auto"/>
        <w:bottom w:val="none" w:sz="0" w:space="0" w:color="auto"/>
        <w:right w:val="none" w:sz="0" w:space="0" w:color="auto"/>
      </w:divBdr>
    </w:div>
    <w:div w:id="1780296927">
      <w:bodyDiv w:val="1"/>
      <w:marLeft w:val="0"/>
      <w:marRight w:val="0"/>
      <w:marTop w:val="0"/>
      <w:marBottom w:val="0"/>
      <w:divBdr>
        <w:top w:val="none" w:sz="0" w:space="0" w:color="auto"/>
        <w:left w:val="none" w:sz="0" w:space="0" w:color="auto"/>
        <w:bottom w:val="none" w:sz="0" w:space="0" w:color="auto"/>
        <w:right w:val="none" w:sz="0" w:space="0" w:color="auto"/>
      </w:divBdr>
    </w:div>
    <w:div w:id="1790510596">
      <w:bodyDiv w:val="1"/>
      <w:marLeft w:val="0"/>
      <w:marRight w:val="0"/>
      <w:marTop w:val="0"/>
      <w:marBottom w:val="0"/>
      <w:divBdr>
        <w:top w:val="none" w:sz="0" w:space="0" w:color="auto"/>
        <w:left w:val="none" w:sz="0" w:space="0" w:color="auto"/>
        <w:bottom w:val="none" w:sz="0" w:space="0" w:color="auto"/>
        <w:right w:val="none" w:sz="0" w:space="0" w:color="auto"/>
      </w:divBdr>
    </w:div>
    <w:div w:id="1800104580">
      <w:bodyDiv w:val="1"/>
      <w:marLeft w:val="0"/>
      <w:marRight w:val="0"/>
      <w:marTop w:val="0"/>
      <w:marBottom w:val="0"/>
      <w:divBdr>
        <w:top w:val="none" w:sz="0" w:space="0" w:color="auto"/>
        <w:left w:val="none" w:sz="0" w:space="0" w:color="auto"/>
        <w:bottom w:val="none" w:sz="0" w:space="0" w:color="auto"/>
        <w:right w:val="none" w:sz="0" w:space="0" w:color="auto"/>
      </w:divBdr>
    </w:div>
    <w:div w:id="1826433420">
      <w:bodyDiv w:val="1"/>
      <w:marLeft w:val="0"/>
      <w:marRight w:val="0"/>
      <w:marTop w:val="0"/>
      <w:marBottom w:val="0"/>
      <w:divBdr>
        <w:top w:val="none" w:sz="0" w:space="0" w:color="auto"/>
        <w:left w:val="none" w:sz="0" w:space="0" w:color="auto"/>
        <w:bottom w:val="none" w:sz="0" w:space="0" w:color="auto"/>
        <w:right w:val="none" w:sz="0" w:space="0" w:color="auto"/>
      </w:divBdr>
    </w:div>
    <w:div w:id="1833327162">
      <w:bodyDiv w:val="1"/>
      <w:marLeft w:val="0"/>
      <w:marRight w:val="0"/>
      <w:marTop w:val="0"/>
      <w:marBottom w:val="0"/>
      <w:divBdr>
        <w:top w:val="none" w:sz="0" w:space="0" w:color="auto"/>
        <w:left w:val="none" w:sz="0" w:space="0" w:color="auto"/>
        <w:bottom w:val="none" w:sz="0" w:space="0" w:color="auto"/>
        <w:right w:val="none" w:sz="0" w:space="0" w:color="auto"/>
      </w:divBdr>
      <w:divsChild>
        <w:div w:id="444421559">
          <w:marLeft w:val="0"/>
          <w:marRight w:val="0"/>
          <w:marTop w:val="0"/>
          <w:marBottom w:val="0"/>
          <w:divBdr>
            <w:top w:val="none" w:sz="0" w:space="0" w:color="auto"/>
            <w:left w:val="none" w:sz="0" w:space="0" w:color="auto"/>
            <w:bottom w:val="none" w:sz="0" w:space="0" w:color="auto"/>
            <w:right w:val="none" w:sz="0" w:space="0" w:color="auto"/>
          </w:divBdr>
          <w:divsChild>
            <w:div w:id="996147818">
              <w:marLeft w:val="0"/>
              <w:marRight w:val="0"/>
              <w:marTop w:val="0"/>
              <w:marBottom w:val="0"/>
              <w:divBdr>
                <w:top w:val="none" w:sz="0" w:space="0" w:color="auto"/>
                <w:left w:val="none" w:sz="0" w:space="0" w:color="auto"/>
                <w:bottom w:val="none" w:sz="0" w:space="0" w:color="auto"/>
                <w:right w:val="none" w:sz="0" w:space="0" w:color="auto"/>
              </w:divBdr>
              <w:divsChild>
                <w:div w:id="1225220451">
                  <w:marLeft w:val="0"/>
                  <w:marRight w:val="0"/>
                  <w:marTop w:val="100"/>
                  <w:marBottom w:val="100"/>
                  <w:divBdr>
                    <w:top w:val="none" w:sz="0" w:space="0" w:color="auto"/>
                    <w:left w:val="none" w:sz="0" w:space="0" w:color="auto"/>
                    <w:bottom w:val="none" w:sz="0" w:space="0" w:color="auto"/>
                    <w:right w:val="none" w:sz="0" w:space="0" w:color="auto"/>
                  </w:divBdr>
                  <w:divsChild>
                    <w:div w:id="1434596110">
                      <w:marLeft w:val="0"/>
                      <w:marRight w:val="0"/>
                      <w:marTop w:val="0"/>
                      <w:marBottom w:val="0"/>
                      <w:divBdr>
                        <w:top w:val="none" w:sz="0" w:space="0" w:color="auto"/>
                        <w:left w:val="none" w:sz="0" w:space="0" w:color="auto"/>
                        <w:bottom w:val="none" w:sz="0" w:space="0" w:color="auto"/>
                        <w:right w:val="none" w:sz="0" w:space="0" w:color="auto"/>
                      </w:divBdr>
                      <w:divsChild>
                        <w:div w:id="57868420">
                          <w:marLeft w:val="0"/>
                          <w:marRight w:val="0"/>
                          <w:marTop w:val="0"/>
                          <w:marBottom w:val="0"/>
                          <w:divBdr>
                            <w:top w:val="none" w:sz="0" w:space="0" w:color="auto"/>
                            <w:left w:val="none" w:sz="0" w:space="0" w:color="auto"/>
                            <w:bottom w:val="none" w:sz="0" w:space="0" w:color="auto"/>
                            <w:right w:val="none" w:sz="0" w:space="0" w:color="auto"/>
                          </w:divBdr>
                          <w:divsChild>
                            <w:div w:id="938104768">
                              <w:marLeft w:val="0"/>
                              <w:marRight w:val="0"/>
                              <w:marTop w:val="0"/>
                              <w:marBottom w:val="0"/>
                              <w:divBdr>
                                <w:top w:val="none" w:sz="0" w:space="0" w:color="auto"/>
                                <w:left w:val="none" w:sz="0" w:space="0" w:color="auto"/>
                                <w:bottom w:val="none" w:sz="0" w:space="0" w:color="auto"/>
                                <w:right w:val="none" w:sz="0" w:space="0" w:color="auto"/>
                              </w:divBdr>
                              <w:divsChild>
                                <w:div w:id="1652518848">
                                  <w:marLeft w:val="0"/>
                                  <w:marRight w:val="0"/>
                                  <w:marTop w:val="0"/>
                                  <w:marBottom w:val="0"/>
                                  <w:divBdr>
                                    <w:top w:val="none" w:sz="0" w:space="0" w:color="auto"/>
                                    <w:left w:val="none" w:sz="0" w:space="0" w:color="auto"/>
                                    <w:bottom w:val="none" w:sz="0" w:space="0" w:color="auto"/>
                                    <w:right w:val="none" w:sz="0" w:space="0" w:color="auto"/>
                                  </w:divBdr>
                                  <w:divsChild>
                                    <w:div w:id="918052987">
                                      <w:marLeft w:val="0"/>
                                      <w:marRight w:val="0"/>
                                      <w:marTop w:val="0"/>
                                      <w:marBottom w:val="0"/>
                                      <w:divBdr>
                                        <w:top w:val="none" w:sz="0" w:space="0" w:color="auto"/>
                                        <w:left w:val="none" w:sz="0" w:space="0" w:color="auto"/>
                                        <w:bottom w:val="none" w:sz="0" w:space="0" w:color="auto"/>
                                        <w:right w:val="none" w:sz="0" w:space="0" w:color="auto"/>
                                      </w:divBdr>
                                      <w:divsChild>
                                        <w:div w:id="1449934550">
                                          <w:marLeft w:val="0"/>
                                          <w:marRight w:val="0"/>
                                          <w:marTop w:val="0"/>
                                          <w:marBottom w:val="0"/>
                                          <w:divBdr>
                                            <w:top w:val="none" w:sz="0" w:space="0" w:color="auto"/>
                                            <w:left w:val="none" w:sz="0" w:space="0" w:color="auto"/>
                                            <w:bottom w:val="none" w:sz="0" w:space="0" w:color="auto"/>
                                            <w:right w:val="none" w:sz="0" w:space="0" w:color="auto"/>
                                          </w:divBdr>
                                          <w:divsChild>
                                            <w:div w:id="1805073871">
                                              <w:marLeft w:val="0"/>
                                              <w:marRight w:val="0"/>
                                              <w:marTop w:val="0"/>
                                              <w:marBottom w:val="0"/>
                                              <w:divBdr>
                                                <w:top w:val="none" w:sz="0" w:space="0" w:color="auto"/>
                                                <w:left w:val="none" w:sz="0" w:space="0" w:color="auto"/>
                                                <w:bottom w:val="none" w:sz="0" w:space="0" w:color="auto"/>
                                                <w:right w:val="none" w:sz="0" w:space="0" w:color="auto"/>
                                              </w:divBdr>
                                              <w:divsChild>
                                                <w:div w:id="1844969665">
                                                  <w:marLeft w:val="0"/>
                                                  <w:marRight w:val="300"/>
                                                  <w:marTop w:val="0"/>
                                                  <w:marBottom w:val="0"/>
                                                  <w:divBdr>
                                                    <w:top w:val="none" w:sz="0" w:space="0" w:color="auto"/>
                                                    <w:left w:val="none" w:sz="0" w:space="0" w:color="auto"/>
                                                    <w:bottom w:val="none" w:sz="0" w:space="0" w:color="auto"/>
                                                    <w:right w:val="none" w:sz="0" w:space="0" w:color="auto"/>
                                                  </w:divBdr>
                                                  <w:divsChild>
                                                    <w:div w:id="112791232">
                                                      <w:marLeft w:val="0"/>
                                                      <w:marRight w:val="0"/>
                                                      <w:marTop w:val="0"/>
                                                      <w:marBottom w:val="0"/>
                                                      <w:divBdr>
                                                        <w:top w:val="none" w:sz="0" w:space="0" w:color="auto"/>
                                                        <w:left w:val="none" w:sz="0" w:space="0" w:color="auto"/>
                                                        <w:bottom w:val="none" w:sz="0" w:space="0" w:color="auto"/>
                                                        <w:right w:val="none" w:sz="0" w:space="0" w:color="auto"/>
                                                      </w:divBdr>
                                                      <w:divsChild>
                                                        <w:div w:id="29503775">
                                                          <w:marLeft w:val="0"/>
                                                          <w:marRight w:val="0"/>
                                                          <w:marTop w:val="0"/>
                                                          <w:marBottom w:val="300"/>
                                                          <w:divBdr>
                                                            <w:top w:val="single" w:sz="6" w:space="0" w:color="CCCCCC"/>
                                                            <w:left w:val="none" w:sz="0" w:space="0" w:color="auto"/>
                                                            <w:bottom w:val="none" w:sz="0" w:space="0" w:color="auto"/>
                                                            <w:right w:val="none" w:sz="0" w:space="0" w:color="auto"/>
                                                          </w:divBdr>
                                                          <w:divsChild>
                                                            <w:div w:id="1390962625">
                                                              <w:marLeft w:val="0"/>
                                                              <w:marRight w:val="0"/>
                                                              <w:marTop w:val="0"/>
                                                              <w:marBottom w:val="0"/>
                                                              <w:divBdr>
                                                                <w:top w:val="none" w:sz="0" w:space="0" w:color="auto"/>
                                                                <w:left w:val="none" w:sz="0" w:space="0" w:color="auto"/>
                                                                <w:bottom w:val="none" w:sz="0" w:space="0" w:color="auto"/>
                                                                <w:right w:val="none" w:sz="0" w:space="0" w:color="auto"/>
                                                              </w:divBdr>
                                                              <w:divsChild>
                                                                <w:div w:id="1001808658">
                                                                  <w:marLeft w:val="0"/>
                                                                  <w:marRight w:val="0"/>
                                                                  <w:marTop w:val="0"/>
                                                                  <w:marBottom w:val="0"/>
                                                                  <w:divBdr>
                                                                    <w:top w:val="none" w:sz="0" w:space="0" w:color="auto"/>
                                                                    <w:left w:val="none" w:sz="0" w:space="0" w:color="auto"/>
                                                                    <w:bottom w:val="none" w:sz="0" w:space="0" w:color="auto"/>
                                                                    <w:right w:val="none" w:sz="0" w:space="0" w:color="auto"/>
                                                                  </w:divBdr>
                                                                  <w:divsChild>
                                                                    <w:div w:id="36205184">
                                                                      <w:marLeft w:val="0"/>
                                                                      <w:marRight w:val="0"/>
                                                                      <w:marTop w:val="0"/>
                                                                      <w:marBottom w:val="0"/>
                                                                      <w:divBdr>
                                                                        <w:top w:val="none" w:sz="0" w:space="0" w:color="auto"/>
                                                                        <w:left w:val="none" w:sz="0" w:space="0" w:color="auto"/>
                                                                        <w:bottom w:val="none" w:sz="0" w:space="0" w:color="auto"/>
                                                                        <w:right w:val="none" w:sz="0" w:space="0" w:color="auto"/>
                                                                      </w:divBdr>
                                                                      <w:divsChild>
                                                                        <w:div w:id="6337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29582693">
      <w:bodyDiv w:val="1"/>
      <w:marLeft w:val="0"/>
      <w:marRight w:val="0"/>
      <w:marTop w:val="0"/>
      <w:marBottom w:val="0"/>
      <w:divBdr>
        <w:top w:val="none" w:sz="0" w:space="0" w:color="auto"/>
        <w:left w:val="none" w:sz="0" w:space="0" w:color="auto"/>
        <w:bottom w:val="none" w:sz="0" w:space="0" w:color="auto"/>
        <w:right w:val="none" w:sz="0" w:space="0" w:color="auto"/>
      </w:divBdr>
    </w:div>
    <w:div w:id="2033990639">
      <w:bodyDiv w:val="1"/>
      <w:marLeft w:val="0"/>
      <w:marRight w:val="0"/>
      <w:marTop w:val="0"/>
      <w:marBottom w:val="0"/>
      <w:divBdr>
        <w:top w:val="none" w:sz="0" w:space="0" w:color="auto"/>
        <w:left w:val="none" w:sz="0" w:space="0" w:color="auto"/>
        <w:bottom w:val="none" w:sz="0" w:space="0" w:color="auto"/>
        <w:right w:val="none" w:sz="0" w:space="0" w:color="auto"/>
      </w:divBdr>
    </w:div>
    <w:div w:id="206618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user\AppData\Roaming\Microsoft\Templates\NPreportTemplat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ustom 1">
      <a:majorFont>
        <a:latin typeface="GE Inspira"/>
        <a:ea typeface=""/>
        <a:cs typeface=""/>
      </a:majorFont>
      <a:minorFont>
        <a:latin typeface="GE Inspira"/>
        <a:ea typeface=""/>
        <a:cs typeface=""/>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7FAA9AF4-4B35-4FF8-8FE7-0CFA3367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NPreportTemplate</Template>
  <TotalTime>0</TotalTime>
  <Pages>3</Pages>
  <Words>6593</Words>
  <Characters>37582</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Basic Conditions Statement</vt:lpstr>
    </vt:vector>
  </TitlesOfParts>
  <LinksUpToDate>false</LinksUpToDate>
  <CharactersWithSpaces>44087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Conditions Statement</dc:title>
  <dc:creator/>
  <cp:lastModifiedBy/>
  <cp:revision>1</cp:revision>
  <dcterms:created xsi:type="dcterms:W3CDTF">2018-05-17T17:30:00Z</dcterms:created>
  <dcterms:modified xsi:type="dcterms:W3CDTF">2018-05-17T17:30:00Z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